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48" w:lineRule="auto"/>
        <w:rPr>
          <w:rFonts w:hint="eastAsia" w:ascii="黑体" w:hAnsi="黑体" w:eastAsia="黑体" w:cs="黑体"/>
          <w:bCs/>
          <w:sz w:val="32"/>
          <w:szCs w:val="32"/>
        </w:rPr>
      </w:pPr>
      <w:r>
        <w:rPr>
          <w:rFonts w:hint="eastAsia" w:ascii="黑体" w:hAnsi="黑体" w:eastAsia="黑体" w:cs="黑体"/>
          <w:bCs/>
          <w:sz w:val="32"/>
          <w:szCs w:val="32"/>
        </w:rPr>
        <w:t>附件1-1</w:t>
      </w:r>
    </w:p>
    <w:p>
      <w:pPr>
        <w:spacing w:line="348" w:lineRule="auto"/>
        <w:jc w:val="center"/>
        <w:rPr>
          <w:rFonts w:hint="eastAsia" w:eastAsia="方正小标宋简体"/>
          <w:bCs/>
          <w:sz w:val="42"/>
          <w:szCs w:val="42"/>
        </w:rPr>
      </w:pPr>
    </w:p>
    <w:p>
      <w:pPr>
        <w:spacing w:line="800" w:lineRule="exact"/>
        <w:jc w:val="center"/>
        <w:rPr>
          <w:rFonts w:hint="eastAsia" w:eastAsia="方正小标宋简体"/>
          <w:bCs/>
          <w:sz w:val="46"/>
          <w:szCs w:val="46"/>
        </w:rPr>
      </w:pPr>
      <w:r>
        <w:rPr>
          <w:rFonts w:hint="eastAsia" w:eastAsia="方正小标宋简体"/>
          <w:bCs/>
          <w:sz w:val="46"/>
          <w:szCs w:val="46"/>
        </w:rPr>
        <w:t>岳阳县2022年度整体支出绩效</w:t>
      </w:r>
    </w:p>
    <w:p>
      <w:pPr>
        <w:spacing w:line="800" w:lineRule="exact"/>
        <w:jc w:val="center"/>
        <w:rPr>
          <w:rFonts w:hint="eastAsia" w:eastAsia="方正小标宋简体"/>
          <w:bCs/>
          <w:sz w:val="46"/>
          <w:szCs w:val="46"/>
        </w:rPr>
      </w:pPr>
      <w:r>
        <w:rPr>
          <w:rFonts w:hint="eastAsia" w:eastAsia="方正小标宋简体"/>
          <w:bCs/>
          <w:sz w:val="46"/>
          <w:szCs w:val="46"/>
        </w:rPr>
        <w:t>自评报告</w:t>
      </w:r>
    </w:p>
    <w:p>
      <w:pPr>
        <w:rPr>
          <w:rFonts w:hint="eastAsia" w:eastAsia="仿宋_GB2312"/>
          <w:b/>
          <w:sz w:val="32"/>
        </w:rPr>
      </w:pPr>
    </w:p>
    <w:p>
      <w:pPr>
        <w:rPr>
          <w:rFonts w:hint="eastAsia" w:eastAsia="仿宋_GB2312"/>
          <w:b/>
          <w:sz w:val="32"/>
        </w:rPr>
      </w:pPr>
    </w:p>
    <w:p>
      <w:pPr>
        <w:rPr>
          <w:rFonts w:hint="eastAsia" w:eastAsia="仿宋_GB2312"/>
          <w:b/>
          <w:sz w:val="32"/>
        </w:rPr>
      </w:pPr>
    </w:p>
    <w:p>
      <w:pPr>
        <w:spacing w:before="301" w:beforeLines="50" w:line="348" w:lineRule="auto"/>
        <w:ind w:firstLine="476" w:firstLineChars="150"/>
        <w:rPr>
          <w:rFonts w:hint="eastAsia" w:eastAsia="仿宋_GB2312"/>
          <w:sz w:val="32"/>
          <w:szCs w:val="32"/>
          <w:u w:val="single"/>
        </w:rPr>
      </w:pPr>
      <w:r>
        <w:rPr>
          <w:rFonts w:hint="eastAsia" w:eastAsia="仿宋_GB2312"/>
          <w:sz w:val="32"/>
          <w:szCs w:val="32"/>
        </w:rPr>
        <w:t>部门(单位)名称：</w:t>
      </w:r>
      <w:r>
        <w:rPr>
          <w:rFonts w:hint="eastAsia" w:eastAsia="仿宋_GB2312"/>
          <w:sz w:val="32"/>
          <w:szCs w:val="32"/>
          <w:u w:val="single"/>
        </w:rPr>
        <w:t xml:space="preserve">           </w:t>
      </w:r>
      <w:r>
        <w:rPr>
          <w:rFonts w:hint="eastAsia" w:eastAsia="仿宋_GB2312"/>
          <w:sz w:val="32"/>
          <w:szCs w:val="32"/>
          <w:u w:val="single"/>
          <w:lang w:val="en-US" w:eastAsia="zh-CN"/>
        </w:rPr>
        <w:t>岳阳县人民医院</w:t>
      </w:r>
      <w:r>
        <w:rPr>
          <w:rFonts w:hint="eastAsia" w:eastAsia="仿宋_GB2312"/>
          <w:sz w:val="32"/>
          <w:szCs w:val="32"/>
          <w:u w:val="single"/>
        </w:rPr>
        <w:t xml:space="preserve">                    </w:t>
      </w:r>
    </w:p>
    <w:p>
      <w:pPr>
        <w:spacing w:before="301" w:beforeLines="50" w:line="348" w:lineRule="auto"/>
        <w:ind w:firstLine="476" w:firstLineChars="150"/>
        <w:rPr>
          <w:rFonts w:hint="eastAsia" w:eastAsia="仿宋_GB2312"/>
          <w:spacing w:val="20"/>
          <w:sz w:val="32"/>
          <w:szCs w:val="32"/>
        </w:rPr>
      </w:pPr>
      <w:r>
        <w:rPr>
          <w:rFonts w:hint="eastAsia" w:eastAsia="仿宋_GB2312"/>
          <w:sz w:val="32"/>
          <w:szCs w:val="32"/>
        </w:rPr>
        <w:t>预</w:t>
      </w:r>
      <w:r>
        <w:rPr>
          <w:rFonts w:hint="eastAsia" w:eastAsia="仿宋_GB2312"/>
          <w:spacing w:val="30"/>
          <w:sz w:val="32"/>
          <w:szCs w:val="32"/>
        </w:rPr>
        <w:t xml:space="preserve"> 算 编 码：</w:t>
      </w:r>
      <w:r>
        <w:rPr>
          <w:rFonts w:hint="eastAsia" w:eastAsia="仿宋_GB2312"/>
          <w:spacing w:val="20"/>
          <w:sz w:val="32"/>
          <w:szCs w:val="32"/>
          <w:u w:val="single"/>
        </w:rPr>
        <w:t xml:space="preserve">      </w:t>
      </w:r>
      <w:r>
        <w:rPr>
          <w:rFonts w:hint="eastAsia" w:eastAsia="仿宋_GB2312"/>
          <w:spacing w:val="20"/>
          <w:sz w:val="32"/>
          <w:szCs w:val="32"/>
          <w:u w:val="single"/>
          <w:lang w:val="en-US" w:eastAsia="zh-CN"/>
        </w:rPr>
        <w:t xml:space="preserve">    438009</w:t>
      </w:r>
      <w:r>
        <w:rPr>
          <w:rFonts w:hint="eastAsia" w:eastAsia="仿宋_GB2312"/>
          <w:spacing w:val="20"/>
          <w:sz w:val="32"/>
          <w:szCs w:val="32"/>
          <w:u w:val="single"/>
        </w:rPr>
        <w:t xml:space="preserve">                      </w:t>
      </w:r>
    </w:p>
    <w:p>
      <w:pPr>
        <w:spacing w:before="301" w:beforeLines="50" w:line="348" w:lineRule="auto"/>
        <w:ind w:firstLine="476" w:firstLineChars="150"/>
        <w:rPr>
          <w:rFonts w:hint="eastAsia" w:eastAsia="仿宋_GB2312"/>
          <w:sz w:val="32"/>
          <w:szCs w:val="32"/>
        </w:rPr>
      </w:pPr>
      <w:r>
        <w:rPr>
          <w:rFonts w:hint="eastAsia" w:eastAsia="仿宋_GB2312"/>
          <w:sz w:val="32"/>
          <w:szCs w:val="32"/>
        </w:rPr>
        <w:t>评价方式：部门（单位）绩效自评</w:t>
      </w:r>
    </w:p>
    <w:p>
      <w:pPr>
        <w:spacing w:before="301" w:beforeLines="50" w:line="348" w:lineRule="auto"/>
        <w:ind w:firstLine="476" w:firstLineChars="150"/>
        <w:rPr>
          <w:rFonts w:hint="eastAsia" w:eastAsia="仿宋_GB2312"/>
          <w:sz w:val="32"/>
          <w:szCs w:val="32"/>
        </w:rPr>
      </w:pPr>
      <w:r>
        <w:rPr>
          <w:rFonts w:hint="eastAsia" w:eastAsia="仿宋_GB2312"/>
          <w:sz w:val="32"/>
          <w:szCs w:val="32"/>
        </w:rPr>
        <w:t xml:space="preserve">评价机构：部门（单位）评价组   </w:t>
      </w:r>
    </w:p>
    <w:p>
      <w:pPr>
        <w:spacing w:line="720" w:lineRule="exact"/>
        <w:ind w:firstLine="2188" w:firstLineChars="690"/>
        <w:rPr>
          <w:rFonts w:hint="eastAsia" w:eastAsia="仿宋_GB2312"/>
          <w:sz w:val="32"/>
        </w:rPr>
      </w:pPr>
    </w:p>
    <w:p>
      <w:pPr>
        <w:spacing w:line="720" w:lineRule="exact"/>
        <w:ind w:firstLine="2188" w:firstLineChars="690"/>
        <w:rPr>
          <w:rFonts w:hint="eastAsia" w:eastAsia="仿宋_GB2312"/>
          <w:sz w:val="32"/>
        </w:rPr>
      </w:pPr>
    </w:p>
    <w:p>
      <w:pPr>
        <w:spacing w:line="348" w:lineRule="auto"/>
        <w:ind w:firstLine="2219" w:firstLineChars="700"/>
        <w:rPr>
          <w:rFonts w:hint="eastAsia" w:eastAsia="仿宋_GB2312"/>
          <w:sz w:val="32"/>
        </w:rPr>
      </w:pPr>
      <w:r>
        <w:rPr>
          <w:rFonts w:hint="eastAsia" w:eastAsia="仿宋_GB2312"/>
          <w:sz w:val="32"/>
        </w:rPr>
        <w:t xml:space="preserve">报告日期： </w:t>
      </w:r>
      <w:r>
        <w:rPr>
          <w:rFonts w:hint="eastAsia" w:eastAsia="仿宋_GB2312"/>
          <w:sz w:val="32"/>
          <w:lang w:val="en-US" w:eastAsia="zh-CN"/>
        </w:rPr>
        <w:t>2023</w:t>
      </w:r>
      <w:r>
        <w:rPr>
          <w:rFonts w:hint="eastAsia" w:eastAsia="仿宋_GB2312"/>
          <w:sz w:val="32"/>
        </w:rPr>
        <w:t xml:space="preserve"> 年  </w:t>
      </w:r>
      <w:r>
        <w:rPr>
          <w:rFonts w:hint="eastAsia" w:eastAsia="仿宋_GB2312"/>
          <w:sz w:val="32"/>
          <w:lang w:val="en-US" w:eastAsia="zh-CN"/>
        </w:rPr>
        <w:t>3</w:t>
      </w:r>
      <w:r>
        <w:rPr>
          <w:rFonts w:hint="eastAsia" w:eastAsia="仿宋_GB2312"/>
          <w:sz w:val="32"/>
        </w:rPr>
        <w:t xml:space="preserve"> 月</w:t>
      </w:r>
      <w:r>
        <w:rPr>
          <w:rFonts w:hint="eastAsia" w:eastAsia="仿宋_GB2312"/>
          <w:sz w:val="32"/>
          <w:lang w:val="en-US" w:eastAsia="zh-CN"/>
        </w:rPr>
        <w:t xml:space="preserve"> 25</w:t>
      </w:r>
      <w:r>
        <w:rPr>
          <w:rFonts w:hint="eastAsia" w:eastAsia="仿宋_GB2312"/>
          <w:sz w:val="32"/>
        </w:rPr>
        <w:t xml:space="preserve">  日</w:t>
      </w:r>
    </w:p>
    <w:p>
      <w:pPr>
        <w:autoSpaceDN w:val="0"/>
        <w:jc w:val="center"/>
        <w:textAlignment w:val="center"/>
        <w:rPr>
          <w:rFonts w:hint="eastAsia" w:eastAsia="仿宋_GB2312"/>
          <w:sz w:val="32"/>
          <w:szCs w:val="32"/>
        </w:rPr>
        <w:sectPr>
          <w:footerReference r:id="rId3" w:type="default"/>
          <w:footerReference r:id="rId4" w:type="even"/>
          <w:pgSz w:w="11906" w:h="16838"/>
          <w:pgMar w:top="1588" w:right="1588" w:bottom="1588" w:left="1588" w:header="851" w:footer="992" w:gutter="0"/>
          <w:pgNumType w:start="1"/>
          <w:cols w:space="720" w:num="1"/>
          <w:docGrid w:type="linesAndChars" w:linePitch="602" w:charSpace="-782"/>
        </w:sectPr>
      </w:pPr>
      <w:r>
        <w:rPr>
          <w:rFonts w:hint="eastAsia" w:eastAsia="仿宋_GB2312"/>
          <w:sz w:val="32"/>
        </w:rPr>
        <w:t>岳阳县财政</w:t>
      </w:r>
      <w:r>
        <w:rPr>
          <w:rFonts w:hint="eastAsia" w:eastAsia="仿宋_GB2312"/>
          <w:sz w:val="32"/>
          <w:szCs w:val="32"/>
        </w:rPr>
        <w:t>局（制）</w:t>
      </w:r>
    </w:p>
    <w:tbl>
      <w:tblPr>
        <w:tblStyle w:val="5"/>
        <w:tblW w:w="980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5" w:type="dxa"/>
          <w:bottom w:w="0" w:type="dxa"/>
          <w:right w:w="15" w:type="dxa"/>
        </w:tblCellMar>
      </w:tblPr>
      <w:tblGrid>
        <w:gridCol w:w="1441"/>
        <w:gridCol w:w="213"/>
        <w:gridCol w:w="46"/>
        <w:gridCol w:w="1080"/>
        <w:gridCol w:w="210"/>
        <w:gridCol w:w="1145"/>
        <w:gridCol w:w="272"/>
        <w:gridCol w:w="808"/>
        <w:gridCol w:w="1479"/>
        <w:gridCol w:w="226"/>
        <w:gridCol w:w="196"/>
        <w:gridCol w:w="259"/>
        <w:gridCol w:w="1080"/>
        <w:gridCol w:w="265"/>
        <w:gridCol w:w="139"/>
        <w:gridCol w:w="316"/>
        <w:gridCol w:w="62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9800" w:type="dxa"/>
            <w:gridSpan w:val="17"/>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黑体" w:hAnsi="黑体" w:eastAsia="黑体" w:cs="黑体"/>
                <w:color w:val="000000"/>
                <w:sz w:val="28"/>
                <w:szCs w:val="28"/>
              </w:rPr>
              <w:t>一、部门（单位）基本概况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1654" w:type="dxa"/>
            <w:gridSpan w:val="2"/>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联系人</w:t>
            </w:r>
          </w:p>
        </w:tc>
        <w:tc>
          <w:tcPr>
            <w:tcW w:w="3561" w:type="dxa"/>
            <w:gridSpan w:val="6"/>
            <w:noWrap w:val="0"/>
            <w:vAlign w:val="center"/>
          </w:tcPr>
          <w:p>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许佳</w:t>
            </w:r>
          </w:p>
        </w:tc>
        <w:tc>
          <w:tcPr>
            <w:tcW w:w="1479" w:type="dxa"/>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联络电话</w:t>
            </w:r>
          </w:p>
        </w:tc>
        <w:tc>
          <w:tcPr>
            <w:tcW w:w="3106" w:type="dxa"/>
            <w:gridSpan w:val="8"/>
            <w:noWrap w:val="0"/>
            <w:vAlign w:val="center"/>
          </w:tcPr>
          <w:p>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13787850845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1654" w:type="dxa"/>
            <w:gridSpan w:val="2"/>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人员编制</w:t>
            </w:r>
          </w:p>
        </w:tc>
        <w:tc>
          <w:tcPr>
            <w:tcW w:w="3561" w:type="dxa"/>
            <w:gridSpan w:val="6"/>
            <w:noWrap w:val="0"/>
            <w:vAlign w:val="center"/>
          </w:tcPr>
          <w:p>
            <w:pPr>
              <w:autoSpaceDN w:val="0"/>
              <w:spacing w:line="320" w:lineRule="exact"/>
              <w:jc w:val="center"/>
              <w:textAlignment w:val="center"/>
              <w:rPr>
                <w:rFonts w:hint="default" w:ascii="仿宋_GB2312" w:hAnsi="仿宋_GB2312" w:eastAsia="仿宋_GB2312" w:cs="仿宋_GB2312"/>
                <w:color w:val="000000"/>
                <w:kern w:val="2"/>
                <w:sz w:val="24"/>
                <w:szCs w:val="24"/>
                <w:lang w:val="en-US" w:eastAsia="zh-CN" w:bidi="ar-SA"/>
              </w:rPr>
            </w:pPr>
            <w:r>
              <w:rPr>
                <w:rFonts w:hint="eastAsia" w:ascii="仿宋_GB2312" w:hAnsi="仿宋_GB2312" w:eastAsia="仿宋_GB2312" w:cs="仿宋_GB2312"/>
                <w:color w:val="000000"/>
                <w:kern w:val="2"/>
                <w:sz w:val="24"/>
                <w:szCs w:val="24"/>
                <w:lang w:val="en-US" w:eastAsia="zh-CN" w:bidi="ar-SA"/>
              </w:rPr>
              <w:t>700</w:t>
            </w:r>
          </w:p>
        </w:tc>
        <w:tc>
          <w:tcPr>
            <w:tcW w:w="1479" w:type="dxa"/>
            <w:noWrap w:val="0"/>
            <w:vAlign w:val="center"/>
          </w:tcPr>
          <w:p>
            <w:pPr>
              <w:autoSpaceDN w:val="0"/>
              <w:spacing w:line="320" w:lineRule="exact"/>
              <w:jc w:val="center"/>
              <w:textAlignment w:val="center"/>
              <w:rPr>
                <w:rFonts w:hint="eastAsia" w:ascii="仿宋_GB2312" w:hAnsi="仿宋_GB2312" w:eastAsia="仿宋_GB2312" w:cs="仿宋_GB2312"/>
                <w:color w:val="000000"/>
                <w:kern w:val="2"/>
                <w:sz w:val="24"/>
                <w:szCs w:val="24"/>
                <w:lang w:val="en-US" w:eastAsia="zh-CN" w:bidi="ar-SA"/>
              </w:rPr>
            </w:pPr>
            <w:r>
              <w:rPr>
                <w:rFonts w:hint="eastAsia" w:ascii="仿宋_GB2312" w:hAnsi="仿宋_GB2312" w:eastAsia="仿宋_GB2312" w:cs="仿宋_GB2312"/>
                <w:color w:val="000000"/>
                <w:kern w:val="2"/>
                <w:sz w:val="24"/>
                <w:szCs w:val="24"/>
                <w:lang w:val="en-US" w:eastAsia="zh-CN" w:bidi="ar-SA"/>
              </w:rPr>
              <w:t>实有人数</w:t>
            </w:r>
          </w:p>
        </w:tc>
        <w:tc>
          <w:tcPr>
            <w:tcW w:w="3106" w:type="dxa"/>
            <w:gridSpan w:val="8"/>
            <w:noWrap w:val="0"/>
            <w:vAlign w:val="center"/>
          </w:tcPr>
          <w:p>
            <w:pPr>
              <w:autoSpaceDN w:val="0"/>
              <w:spacing w:line="320" w:lineRule="exact"/>
              <w:jc w:val="center"/>
              <w:textAlignment w:val="center"/>
              <w:rPr>
                <w:rFonts w:hint="default" w:ascii="仿宋_GB2312" w:hAnsi="仿宋_GB2312" w:eastAsia="仿宋_GB2312" w:cs="仿宋_GB2312"/>
                <w:color w:val="000000"/>
                <w:kern w:val="2"/>
                <w:sz w:val="24"/>
                <w:szCs w:val="24"/>
                <w:lang w:val="en-US" w:eastAsia="zh-CN" w:bidi="ar-SA"/>
              </w:rPr>
            </w:pPr>
            <w:r>
              <w:rPr>
                <w:rFonts w:hint="eastAsia" w:ascii="仿宋_GB2312" w:hAnsi="仿宋_GB2312" w:eastAsia="仿宋_GB2312" w:cs="仿宋_GB2312"/>
                <w:color w:val="000000"/>
                <w:kern w:val="2"/>
                <w:sz w:val="24"/>
                <w:szCs w:val="24"/>
                <w:lang w:val="en-US" w:eastAsia="zh-CN" w:bidi="ar-SA"/>
              </w:rPr>
              <w:t>637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1500" w:hRule="atLeast"/>
          <w:jc w:val="center"/>
        </w:trPr>
        <w:tc>
          <w:tcPr>
            <w:tcW w:w="1654" w:type="dxa"/>
            <w:gridSpan w:val="2"/>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职能职责概述</w:t>
            </w:r>
          </w:p>
        </w:tc>
        <w:tc>
          <w:tcPr>
            <w:tcW w:w="8146" w:type="dxa"/>
            <w:gridSpan w:val="15"/>
            <w:noWrap w:val="0"/>
            <w:vAlign w:val="center"/>
          </w:tcPr>
          <w:p>
            <w:pPr>
              <w:autoSpaceDN w:val="0"/>
              <w:spacing w:line="320" w:lineRule="exact"/>
              <w:jc w:val="left"/>
              <w:textAlignment w:val="center"/>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w:t>
            </w:r>
            <w:bookmarkStart w:id="0" w:name="_GoBack"/>
            <w:r>
              <w:rPr>
                <w:rFonts w:hint="eastAsia" w:ascii="仿宋_GB2312" w:hAnsi="仿宋_GB2312" w:eastAsia="仿宋_GB2312" w:cs="仿宋_GB2312"/>
                <w:color w:val="000000"/>
                <w:sz w:val="24"/>
                <w:lang w:val="en-US" w:eastAsia="zh-CN"/>
              </w:rPr>
              <w:t>一）贯彻执行国家有关医院的政策、法律、法规，行使公立医院基本职责。</w:t>
            </w:r>
          </w:p>
          <w:p>
            <w:pPr>
              <w:autoSpaceDN w:val="0"/>
              <w:spacing w:line="320" w:lineRule="exact"/>
              <w:jc w:val="left"/>
              <w:textAlignment w:val="center"/>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（二）向服务范围内的的居民提供公共卫生服务，促进健康。</w:t>
            </w:r>
          </w:p>
          <w:p>
            <w:pPr>
              <w:autoSpaceDN w:val="0"/>
              <w:spacing w:line="320" w:lineRule="exact"/>
              <w:jc w:val="left"/>
              <w:textAlignment w:val="center"/>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（三）确保服务范围内的居民的基本医疗保障得以实现。</w:t>
            </w:r>
          </w:p>
          <w:p>
            <w:pPr>
              <w:autoSpaceDN w:val="0"/>
              <w:spacing w:line="320" w:lineRule="exact"/>
              <w:jc w:val="left"/>
              <w:textAlignment w:val="center"/>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（四）负责服务范围内居民危重病的抢救、救治，常见病的诊断、控制工作。</w:t>
            </w:r>
          </w:p>
          <w:p>
            <w:pPr>
              <w:autoSpaceDN w:val="0"/>
              <w:spacing w:line="320" w:lineRule="exact"/>
              <w:jc w:val="left"/>
              <w:textAlignment w:val="center"/>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（五）向服务范围内的居民提供体检，对居民健康进行动态分析，跟踪。</w:t>
            </w:r>
          </w:p>
          <w:p>
            <w:pPr>
              <w:autoSpaceDN w:val="0"/>
              <w:spacing w:line="320" w:lineRule="exact"/>
              <w:jc w:val="left"/>
              <w:textAlignment w:val="center"/>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（六）负责传染病的预防和控制。</w:t>
            </w:r>
          </w:p>
          <w:p>
            <w:pPr>
              <w:autoSpaceDN w:val="0"/>
              <w:spacing w:line="320" w:lineRule="exact"/>
              <w:jc w:val="left"/>
              <w:textAlignment w:val="center"/>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（七）帮助和促进乡镇医院发展。</w:t>
            </w:r>
          </w:p>
          <w:p>
            <w:pPr>
              <w:autoSpaceDN w:val="0"/>
              <w:spacing w:line="320" w:lineRule="exact"/>
              <w:jc w:val="left"/>
              <w:textAlignment w:val="center"/>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（八）开展科研，教学工作。</w:t>
            </w:r>
          </w:p>
          <w:p>
            <w:pPr>
              <w:autoSpaceDN w:val="0"/>
              <w:spacing w:line="320" w:lineRule="exact"/>
              <w:jc w:val="left"/>
              <w:textAlignment w:val="center"/>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（九）上级部门交办的其他工作。</w:t>
            </w:r>
          </w:p>
          <w:bookmarkEnd w:id="0"/>
          <w:p>
            <w:pPr>
              <w:autoSpaceDN w:val="0"/>
              <w:spacing w:line="320" w:lineRule="exact"/>
              <w:jc w:val="left"/>
              <w:textAlignment w:val="center"/>
              <w:rPr>
                <w:rFonts w:hint="eastAsia" w:ascii="仿宋_GB2312" w:hAnsi="仿宋_GB2312" w:eastAsia="仿宋_GB2312" w:cs="仿宋_GB2312"/>
                <w:color w:val="000000"/>
                <w:kern w:val="2"/>
                <w:sz w:val="24"/>
                <w:szCs w:val="24"/>
                <w:lang w:val="en-US" w:eastAsia="zh-CN"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2464" w:hRule="atLeast"/>
          <w:jc w:val="center"/>
        </w:trPr>
        <w:tc>
          <w:tcPr>
            <w:tcW w:w="1654" w:type="dxa"/>
            <w:gridSpan w:val="2"/>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年度主要</w:t>
            </w:r>
          </w:p>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工作内容</w:t>
            </w:r>
          </w:p>
        </w:tc>
        <w:tc>
          <w:tcPr>
            <w:tcW w:w="8146" w:type="dxa"/>
            <w:gridSpan w:val="15"/>
            <w:noWrap w:val="0"/>
            <w:vAlign w:val="center"/>
          </w:tcPr>
          <w:p>
            <w:pPr>
              <w:autoSpaceDN w:val="0"/>
              <w:spacing w:line="320" w:lineRule="exact"/>
              <w:jc w:val="left"/>
              <w:textAlignment w:val="center"/>
              <w:rPr>
                <w:rFonts w:hint="default" w:ascii="仿宋_GB2312" w:hAnsi="仿宋_GB2312" w:eastAsia="仿宋_GB2312" w:cs="仿宋_GB2312"/>
                <w:color w:val="000000"/>
                <w:sz w:val="24"/>
                <w:lang w:val="en-US"/>
              </w:rPr>
            </w:pPr>
            <w:r>
              <w:rPr>
                <w:rFonts w:hint="eastAsia" w:ascii="仿宋_GB2312" w:hAnsi="仿宋_GB2312" w:eastAsia="仿宋_GB2312" w:cs="仿宋_GB2312"/>
                <w:color w:val="000000"/>
                <w:sz w:val="24"/>
              </w:rPr>
              <w:t>任务1：</w:t>
            </w:r>
            <w:r>
              <w:rPr>
                <w:rFonts w:hint="eastAsia" w:ascii="仿宋_GB2312" w:hAnsi="仿宋_GB2312" w:eastAsia="仿宋_GB2312" w:cs="仿宋_GB2312"/>
                <w:color w:val="000000"/>
                <w:sz w:val="24"/>
                <w:lang w:val="en-US" w:eastAsia="zh-CN"/>
              </w:rPr>
              <w:t>全面推进三级医院建设.</w:t>
            </w:r>
          </w:p>
          <w:p>
            <w:pPr>
              <w:autoSpaceDN w:val="0"/>
              <w:spacing w:line="320" w:lineRule="exact"/>
              <w:jc w:val="left"/>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rPr>
              <w:t>任务2：</w:t>
            </w:r>
            <w:r>
              <w:rPr>
                <w:rFonts w:hint="eastAsia" w:ascii="仿宋_GB2312" w:hAnsi="仿宋_GB2312" w:eastAsia="仿宋_GB2312" w:cs="仿宋_GB2312"/>
                <w:color w:val="000000"/>
                <w:sz w:val="24"/>
                <w:lang w:val="en-US" w:eastAsia="zh-CN"/>
              </w:rPr>
              <w:t>全面加强</w:t>
            </w:r>
            <w:r>
              <w:rPr>
                <w:rFonts w:hint="eastAsia" w:ascii="仿宋_GB2312" w:hAnsi="仿宋_GB2312" w:eastAsia="仿宋_GB2312" w:cs="仿宋_GB2312"/>
                <w:color w:val="000000"/>
                <w:sz w:val="24"/>
              </w:rPr>
              <w:t>内涵</w:t>
            </w:r>
            <w:r>
              <w:rPr>
                <w:rFonts w:hint="eastAsia" w:ascii="仿宋_GB2312" w:hAnsi="仿宋_GB2312" w:eastAsia="仿宋_GB2312" w:cs="仿宋_GB2312"/>
                <w:color w:val="000000"/>
                <w:sz w:val="24"/>
                <w:lang w:val="en-US" w:eastAsia="zh-CN"/>
              </w:rPr>
              <w:t>质量</w:t>
            </w:r>
            <w:r>
              <w:rPr>
                <w:rFonts w:hint="eastAsia" w:ascii="仿宋_GB2312" w:hAnsi="仿宋_GB2312" w:eastAsia="仿宋_GB2312" w:cs="仿宋_GB2312"/>
                <w:color w:val="000000"/>
                <w:sz w:val="24"/>
              </w:rPr>
              <w:t>建设</w:t>
            </w:r>
            <w:r>
              <w:rPr>
                <w:rFonts w:hint="eastAsia" w:ascii="仿宋_GB2312" w:hAnsi="仿宋_GB2312" w:eastAsia="仿宋_GB2312" w:cs="仿宋_GB2312"/>
                <w:color w:val="000000"/>
                <w:sz w:val="24"/>
                <w:lang w:eastAsia="zh-CN"/>
              </w:rPr>
              <w:t>。</w:t>
            </w:r>
          </w:p>
          <w:p>
            <w:pPr>
              <w:autoSpaceDN w:val="0"/>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任务3：</w:t>
            </w:r>
            <w:r>
              <w:rPr>
                <w:rFonts w:hint="eastAsia" w:ascii="仿宋_GB2312" w:hAnsi="仿宋_GB2312" w:eastAsia="仿宋_GB2312" w:cs="仿宋_GB2312"/>
                <w:color w:val="000000"/>
                <w:sz w:val="24"/>
                <w:lang w:val="en-US" w:eastAsia="zh-CN"/>
              </w:rPr>
              <w:t>全面开展卓越服务医院建设，持续推进优质服务。</w:t>
            </w:r>
          </w:p>
          <w:p>
            <w:pPr>
              <w:autoSpaceDN w:val="0"/>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任务</w:t>
            </w:r>
            <w:r>
              <w:rPr>
                <w:rFonts w:hint="eastAsia" w:ascii="仿宋_GB2312" w:hAnsi="仿宋_GB2312" w:eastAsia="仿宋_GB2312" w:cs="仿宋_GB2312"/>
                <w:color w:val="000000"/>
                <w:sz w:val="24"/>
                <w:lang w:val="en-US" w:eastAsia="zh-CN"/>
              </w:rPr>
              <w:t>4</w:t>
            </w:r>
            <w:r>
              <w:rPr>
                <w:rFonts w:hint="eastAsia" w:ascii="仿宋_GB2312" w:hAnsi="仿宋_GB2312" w:eastAsia="仿宋_GB2312" w:cs="仿宋_GB2312"/>
                <w:color w:val="000000"/>
                <w:sz w:val="24"/>
              </w:rPr>
              <w:t>：</w:t>
            </w:r>
            <w:r>
              <w:rPr>
                <w:rFonts w:hint="eastAsia" w:ascii="仿宋_GB2312" w:hAnsi="仿宋_GB2312" w:eastAsia="仿宋_GB2312" w:cs="仿宋_GB2312"/>
                <w:color w:val="000000"/>
                <w:sz w:val="24"/>
                <w:lang w:val="en-US" w:eastAsia="zh-CN"/>
              </w:rPr>
              <w:t>持续推进公立医院</w:t>
            </w:r>
            <w:r>
              <w:rPr>
                <w:rFonts w:hint="eastAsia" w:ascii="仿宋_GB2312" w:hAnsi="仿宋_GB2312" w:eastAsia="仿宋_GB2312" w:cs="仿宋_GB2312"/>
                <w:color w:val="000000"/>
                <w:sz w:val="24"/>
              </w:rPr>
              <w:t>综合改革，激发医院发展潜力</w:t>
            </w:r>
            <w:r>
              <w:rPr>
                <w:rFonts w:hint="eastAsia" w:ascii="仿宋_GB2312" w:hAnsi="仿宋_GB2312" w:eastAsia="仿宋_GB2312" w:cs="仿宋_GB2312"/>
                <w:color w:val="000000"/>
                <w:sz w:val="24"/>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2260" w:hRule="atLeast"/>
          <w:jc w:val="center"/>
        </w:trPr>
        <w:tc>
          <w:tcPr>
            <w:tcW w:w="1654" w:type="dxa"/>
            <w:gridSpan w:val="2"/>
            <w:noWrap w:val="0"/>
            <w:vAlign w:val="center"/>
          </w:tcPr>
          <w:p>
            <w:pPr>
              <w:autoSpaceDN w:val="0"/>
              <w:spacing w:line="320" w:lineRule="exact"/>
              <w:jc w:val="center"/>
              <w:textAlignment w:val="center"/>
              <w:rPr>
                <w:rFonts w:hint="eastAsia" w:ascii="仿宋_GB2312" w:hAnsi="仿宋_GB2312" w:eastAsia="仿宋_GB2312" w:cs="仿宋_GB2312"/>
                <w:color w:val="000000"/>
                <w:spacing w:val="-6"/>
                <w:sz w:val="24"/>
              </w:rPr>
            </w:pPr>
            <w:r>
              <w:rPr>
                <w:rFonts w:hint="eastAsia" w:ascii="仿宋_GB2312" w:hAnsi="仿宋_GB2312" w:eastAsia="仿宋_GB2312" w:cs="仿宋_GB2312"/>
                <w:color w:val="000000"/>
                <w:spacing w:val="-6"/>
                <w:sz w:val="24"/>
              </w:rPr>
              <w:t>年度部门（单位）总体运行情况及取得的成绩</w:t>
            </w:r>
          </w:p>
        </w:tc>
        <w:tc>
          <w:tcPr>
            <w:tcW w:w="8146" w:type="dxa"/>
            <w:gridSpan w:val="15"/>
            <w:noWrap w:val="0"/>
            <w:vAlign w:val="center"/>
          </w:tcPr>
          <w:p>
            <w:pPr>
              <w:autoSpaceDN w:val="0"/>
              <w:spacing w:line="320" w:lineRule="exact"/>
              <w:ind w:firstLine="456" w:firstLineChars="200"/>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pacing w:val="-6"/>
                <w:sz w:val="24"/>
                <w:lang w:val="en-US" w:eastAsia="zh-CN"/>
              </w:rPr>
              <w:t>一年来</w:t>
            </w:r>
            <w:r>
              <w:rPr>
                <w:rFonts w:hint="eastAsia" w:ascii="仿宋_GB2312" w:hAnsi="仿宋_GB2312" w:eastAsia="仿宋_GB2312" w:cs="仿宋_GB2312"/>
                <w:color w:val="000000"/>
                <w:spacing w:val="-6"/>
                <w:sz w:val="24"/>
              </w:rPr>
              <w:t>，</w:t>
            </w:r>
            <w:r>
              <w:rPr>
                <w:rFonts w:hint="eastAsia" w:ascii="仿宋_GB2312" w:hAnsi="仿宋_GB2312" w:eastAsia="仿宋_GB2312" w:cs="仿宋_GB2312"/>
                <w:color w:val="000000"/>
                <w:spacing w:val="-6"/>
                <w:sz w:val="24"/>
                <w:lang w:val="en-US" w:eastAsia="zh-CN"/>
              </w:rPr>
              <w:t>医院党委领导班子</w:t>
            </w:r>
            <w:r>
              <w:rPr>
                <w:rFonts w:hint="eastAsia" w:ascii="仿宋_GB2312" w:hAnsi="仿宋_GB2312" w:eastAsia="仿宋_GB2312" w:cs="仿宋_GB2312"/>
                <w:color w:val="000000"/>
                <w:spacing w:val="-6"/>
                <w:sz w:val="24"/>
              </w:rPr>
              <w:t>坚持以</w:t>
            </w:r>
            <w:r>
              <w:rPr>
                <w:rFonts w:hint="eastAsia" w:ascii="仿宋_GB2312" w:hAnsi="仿宋_GB2312" w:eastAsia="仿宋_GB2312" w:cs="仿宋_GB2312"/>
                <w:color w:val="000000"/>
                <w:spacing w:val="-6"/>
                <w:sz w:val="24"/>
                <w:lang w:val="en-US" w:eastAsia="zh-CN"/>
              </w:rPr>
              <w:t>习近平新时代中国特色社会主义思想为指导，深入贯彻落实党的十九届六中全会和党的二十大精神，</w:t>
            </w:r>
            <w:r>
              <w:rPr>
                <w:rFonts w:hint="eastAsia" w:ascii="仿宋_GB2312" w:hAnsi="仿宋_GB2312" w:eastAsia="仿宋_GB2312" w:cs="仿宋_GB2312"/>
                <w:color w:val="000000"/>
                <w:spacing w:val="-6"/>
                <w:sz w:val="24"/>
              </w:rPr>
              <w:t>在县委、县政府的正确领导、大力支持和上级主管部门的科学指导下，</w:t>
            </w:r>
            <w:r>
              <w:rPr>
                <w:rFonts w:hint="eastAsia" w:ascii="仿宋_GB2312" w:hAnsi="仿宋_GB2312" w:eastAsia="仿宋_GB2312" w:cs="仿宋_GB2312"/>
                <w:color w:val="000000"/>
                <w:spacing w:val="-6"/>
                <w:sz w:val="24"/>
                <w:lang w:val="en-US" w:eastAsia="zh-CN"/>
              </w:rPr>
              <w:t>院党委团结带领</w:t>
            </w:r>
            <w:r>
              <w:rPr>
                <w:rFonts w:hint="eastAsia" w:ascii="仿宋_GB2312" w:hAnsi="仿宋_GB2312" w:eastAsia="仿宋_GB2312" w:cs="仿宋_GB2312"/>
                <w:color w:val="000000"/>
                <w:spacing w:val="-6"/>
                <w:sz w:val="24"/>
              </w:rPr>
              <w:t>全院干职工</w:t>
            </w:r>
            <w:r>
              <w:rPr>
                <w:rFonts w:hint="eastAsia" w:ascii="仿宋_GB2312" w:hAnsi="仿宋_GB2312" w:eastAsia="仿宋_GB2312" w:cs="仿宋_GB2312"/>
                <w:color w:val="000000"/>
                <w:spacing w:val="-6"/>
                <w:sz w:val="24"/>
                <w:lang w:eastAsia="zh-CN"/>
              </w:rPr>
              <w:t>，</w:t>
            </w:r>
            <w:r>
              <w:rPr>
                <w:rFonts w:hint="eastAsia" w:ascii="仿宋_GB2312" w:hAnsi="仿宋_GB2312" w:eastAsia="仿宋_GB2312" w:cs="仿宋_GB2312"/>
                <w:color w:val="000000"/>
                <w:spacing w:val="-6"/>
                <w:sz w:val="24"/>
              </w:rPr>
              <w:t>紧紧围绕全县卫生健康工作中心，从</w:t>
            </w:r>
            <w:r>
              <w:rPr>
                <w:rFonts w:hint="eastAsia" w:ascii="仿宋_GB2312" w:hAnsi="仿宋_GB2312" w:eastAsia="仿宋_GB2312" w:cs="仿宋_GB2312"/>
                <w:color w:val="000000"/>
                <w:spacing w:val="-6"/>
                <w:sz w:val="24"/>
                <w:lang w:eastAsia="zh-CN"/>
              </w:rPr>
              <w:t>严</w:t>
            </w:r>
            <w:r>
              <w:rPr>
                <w:rFonts w:hint="eastAsia" w:ascii="仿宋_GB2312" w:hAnsi="仿宋_GB2312" w:eastAsia="仿宋_GB2312" w:cs="仿宋_GB2312"/>
                <w:color w:val="000000"/>
                <w:spacing w:val="-6"/>
                <w:sz w:val="24"/>
              </w:rPr>
              <w:t>应对新冠疫情，积极应对行业困难挑战，奋力推动医院</w:t>
            </w:r>
            <w:r>
              <w:rPr>
                <w:rFonts w:hint="eastAsia" w:ascii="仿宋_GB2312" w:hAnsi="仿宋_GB2312" w:eastAsia="仿宋_GB2312" w:cs="仿宋_GB2312"/>
                <w:color w:val="000000"/>
                <w:spacing w:val="-6"/>
                <w:sz w:val="24"/>
                <w:lang w:val="en-US" w:eastAsia="zh-CN"/>
              </w:rPr>
              <w:t>高质量</w:t>
            </w:r>
            <w:r>
              <w:rPr>
                <w:rFonts w:hint="eastAsia" w:ascii="仿宋_GB2312" w:hAnsi="仿宋_GB2312" w:eastAsia="仿宋_GB2312" w:cs="仿宋_GB2312"/>
                <w:color w:val="000000"/>
                <w:spacing w:val="-6"/>
                <w:sz w:val="24"/>
              </w:rPr>
              <w:t>发展，圆满完成了各项目标任务，确保了疫情防控和业务发展两手抓、两手硬，医院内涵质量建设再上新台阶。202</w:t>
            </w:r>
            <w:r>
              <w:rPr>
                <w:rFonts w:hint="eastAsia" w:ascii="仿宋_GB2312" w:hAnsi="仿宋_GB2312" w:eastAsia="仿宋_GB2312" w:cs="仿宋_GB2312"/>
                <w:color w:val="000000"/>
                <w:spacing w:val="-6"/>
                <w:sz w:val="24"/>
                <w:lang w:val="en-US" w:eastAsia="zh-CN"/>
              </w:rPr>
              <w:t>2</w:t>
            </w:r>
            <w:r>
              <w:rPr>
                <w:rFonts w:hint="eastAsia" w:ascii="仿宋_GB2312" w:hAnsi="仿宋_GB2312" w:eastAsia="仿宋_GB2312" w:cs="仿宋_GB2312"/>
                <w:color w:val="000000"/>
                <w:spacing w:val="-6"/>
                <w:sz w:val="24"/>
              </w:rPr>
              <w:t>年</w:t>
            </w:r>
            <w:r>
              <w:rPr>
                <w:rFonts w:hint="eastAsia" w:ascii="仿宋_GB2312" w:hAnsi="仿宋_GB2312" w:eastAsia="仿宋_GB2312" w:cs="仿宋_GB2312"/>
                <w:color w:val="000000"/>
                <w:spacing w:val="-6"/>
                <w:sz w:val="24"/>
                <w:lang w:eastAsia="zh-CN"/>
              </w:rPr>
              <w:t>，</w:t>
            </w:r>
            <w:r>
              <w:rPr>
                <w:rFonts w:hint="eastAsia" w:ascii="仿宋_GB2312" w:hAnsi="仿宋_GB2312" w:eastAsia="仿宋_GB2312" w:cs="仿宋_GB2312"/>
                <w:color w:val="000000"/>
                <w:spacing w:val="-6"/>
                <w:sz w:val="24"/>
                <w:lang w:val="en-US" w:eastAsia="zh-CN"/>
              </w:rPr>
              <w:t>累计</w:t>
            </w:r>
            <w:r>
              <w:rPr>
                <w:rFonts w:hint="eastAsia" w:ascii="仿宋_GB2312" w:hAnsi="仿宋_GB2312" w:eastAsia="仿宋_GB2312" w:cs="仿宋_GB2312"/>
                <w:color w:val="000000"/>
                <w:spacing w:val="-6"/>
                <w:sz w:val="24"/>
              </w:rPr>
              <w:t>完成门急诊</w:t>
            </w:r>
            <w:r>
              <w:rPr>
                <w:rFonts w:hint="eastAsia" w:ascii="仿宋_GB2312" w:hAnsi="仿宋_GB2312" w:eastAsia="仿宋_GB2312" w:cs="仿宋_GB2312"/>
                <w:color w:val="000000"/>
                <w:spacing w:val="-6"/>
                <w:sz w:val="24"/>
                <w:lang w:val="en-US" w:eastAsia="zh-CN"/>
              </w:rPr>
              <w:t>31.2万</w:t>
            </w:r>
            <w:r>
              <w:rPr>
                <w:rFonts w:hint="eastAsia" w:ascii="仿宋_GB2312" w:hAnsi="仿宋_GB2312" w:eastAsia="仿宋_GB2312" w:cs="仿宋_GB2312"/>
                <w:color w:val="000000"/>
                <w:spacing w:val="-6"/>
                <w:sz w:val="24"/>
              </w:rPr>
              <w:t>人次，收治住院</w:t>
            </w:r>
            <w:r>
              <w:rPr>
                <w:rFonts w:hint="eastAsia" w:ascii="仿宋_GB2312" w:hAnsi="仿宋_GB2312" w:eastAsia="仿宋_GB2312" w:cs="仿宋_GB2312"/>
                <w:color w:val="000000"/>
                <w:spacing w:val="-6"/>
                <w:sz w:val="24"/>
                <w:lang w:val="en-US" w:eastAsia="zh-CN"/>
              </w:rPr>
              <w:t>2.5万</w:t>
            </w:r>
            <w:r>
              <w:rPr>
                <w:rFonts w:hint="eastAsia" w:ascii="仿宋_GB2312" w:hAnsi="仿宋_GB2312" w:eastAsia="仿宋_GB2312" w:cs="仿宋_GB2312"/>
                <w:color w:val="000000"/>
                <w:spacing w:val="-6"/>
                <w:sz w:val="24"/>
              </w:rPr>
              <w:t>人次，完成手术</w:t>
            </w:r>
            <w:r>
              <w:rPr>
                <w:rFonts w:hint="eastAsia" w:ascii="仿宋_GB2312" w:hAnsi="仿宋_GB2312" w:eastAsia="仿宋_GB2312" w:cs="仿宋_GB2312"/>
                <w:color w:val="000000"/>
                <w:spacing w:val="-6"/>
                <w:sz w:val="24"/>
                <w:lang w:val="en-US" w:eastAsia="zh-CN"/>
              </w:rPr>
              <w:t>7600</w:t>
            </w:r>
            <w:r>
              <w:rPr>
                <w:rFonts w:hint="eastAsia" w:ascii="仿宋_GB2312" w:hAnsi="仿宋_GB2312" w:eastAsia="仿宋_GB2312" w:cs="仿宋_GB2312"/>
                <w:color w:val="000000"/>
                <w:spacing w:val="-6"/>
                <w:sz w:val="24"/>
              </w:rPr>
              <w:t>台次，</w:t>
            </w:r>
            <w:r>
              <w:rPr>
                <w:rFonts w:hint="eastAsia" w:ascii="仿宋_GB2312" w:hAnsi="仿宋_GB2312" w:eastAsia="仿宋_GB2312" w:cs="仿宋_GB2312"/>
                <w:color w:val="000000"/>
                <w:spacing w:val="-6"/>
                <w:sz w:val="24"/>
                <w:lang w:val="en-US" w:eastAsia="zh-CN"/>
              </w:rPr>
              <w:t>同比分别增长52.1%、10.6%、37.6%，</w:t>
            </w:r>
            <w:r>
              <w:rPr>
                <w:rFonts w:hint="eastAsia" w:ascii="仿宋_GB2312" w:hAnsi="仿宋_GB2312" w:eastAsia="仿宋_GB2312" w:cs="仿宋_GB2312"/>
                <w:color w:val="000000"/>
                <w:spacing w:val="-6"/>
                <w:sz w:val="24"/>
              </w:rPr>
              <w:t>完成检查</w:t>
            </w:r>
            <w:r>
              <w:rPr>
                <w:rFonts w:hint="eastAsia" w:ascii="仿宋_GB2312" w:hAnsi="仿宋_GB2312" w:eastAsia="仿宋_GB2312" w:cs="仿宋_GB2312"/>
                <w:color w:val="000000"/>
                <w:spacing w:val="-6"/>
                <w:sz w:val="24"/>
                <w:lang w:val="en-US" w:eastAsia="zh-CN"/>
              </w:rPr>
              <w:t>35万</w:t>
            </w:r>
            <w:r>
              <w:rPr>
                <w:rFonts w:hint="eastAsia" w:ascii="仿宋_GB2312" w:hAnsi="仿宋_GB2312" w:eastAsia="仿宋_GB2312" w:cs="仿宋_GB2312"/>
                <w:color w:val="000000"/>
                <w:spacing w:val="-6"/>
                <w:sz w:val="24"/>
              </w:rPr>
              <w:t>人次，完成健康体检</w:t>
            </w:r>
            <w:r>
              <w:rPr>
                <w:rFonts w:hint="eastAsia" w:ascii="仿宋_GB2312" w:hAnsi="仿宋_GB2312" w:eastAsia="仿宋_GB2312" w:cs="仿宋_GB2312"/>
                <w:color w:val="000000"/>
                <w:spacing w:val="-6"/>
                <w:sz w:val="24"/>
                <w:lang w:val="en-US" w:eastAsia="zh-CN"/>
              </w:rPr>
              <w:t>8900</w:t>
            </w:r>
            <w:r>
              <w:rPr>
                <w:rFonts w:hint="eastAsia" w:ascii="仿宋_GB2312" w:hAnsi="仿宋_GB2312" w:eastAsia="仿宋_GB2312" w:cs="仿宋_GB2312"/>
                <w:color w:val="000000"/>
                <w:spacing w:val="-6"/>
                <w:sz w:val="24"/>
              </w:rPr>
              <w:t>人次，</w:t>
            </w:r>
            <w:r>
              <w:rPr>
                <w:rFonts w:hint="eastAsia" w:ascii="仿宋_GB2312" w:hAnsi="仿宋_GB2312" w:eastAsia="仿宋_GB2312" w:cs="仿宋_GB2312"/>
                <w:color w:val="000000"/>
                <w:spacing w:val="-6"/>
                <w:sz w:val="24"/>
                <w:lang w:val="en-US" w:eastAsia="zh-CN"/>
              </w:rPr>
              <w:t>完成</w:t>
            </w:r>
            <w:r>
              <w:rPr>
                <w:rFonts w:hint="eastAsia" w:ascii="仿宋_GB2312" w:hAnsi="仿宋_GB2312" w:eastAsia="仿宋_GB2312" w:cs="仿宋_GB2312"/>
                <w:color w:val="000000"/>
                <w:spacing w:val="-6"/>
                <w:sz w:val="24"/>
              </w:rPr>
              <w:t>总收入</w:t>
            </w:r>
            <w:r>
              <w:rPr>
                <w:rFonts w:hint="eastAsia" w:ascii="仿宋_GB2312" w:hAnsi="仿宋_GB2312" w:eastAsia="仿宋_GB2312" w:cs="仿宋_GB2312"/>
                <w:color w:val="000000"/>
                <w:spacing w:val="-6"/>
                <w:sz w:val="24"/>
                <w:lang w:val="en-US" w:eastAsia="zh-CN"/>
              </w:rPr>
              <w:t>1.94亿元</w:t>
            </w:r>
            <w:r>
              <w:rPr>
                <w:rFonts w:hint="eastAsia" w:ascii="仿宋_GB2312" w:hAnsi="仿宋_GB2312" w:eastAsia="仿宋_GB2312" w:cs="仿宋_GB2312"/>
                <w:color w:val="000000"/>
                <w:spacing w:val="-6"/>
                <w:sz w:val="24"/>
              </w:rPr>
              <w:t>，其中业务收入</w:t>
            </w:r>
            <w:r>
              <w:rPr>
                <w:rFonts w:hint="eastAsia" w:ascii="仿宋_GB2312" w:hAnsi="仿宋_GB2312" w:eastAsia="仿宋_GB2312" w:cs="仿宋_GB2312"/>
                <w:color w:val="000000"/>
                <w:spacing w:val="-6"/>
                <w:sz w:val="24"/>
                <w:lang w:val="en-US" w:eastAsia="zh-CN"/>
              </w:rPr>
              <w:t>1.77亿</w:t>
            </w:r>
            <w:r>
              <w:rPr>
                <w:rFonts w:hint="eastAsia" w:ascii="仿宋_GB2312" w:hAnsi="仿宋_GB2312" w:eastAsia="仿宋_GB2312" w:cs="仿宋_GB2312"/>
                <w:color w:val="000000"/>
                <w:spacing w:val="-6"/>
                <w:sz w:val="24"/>
              </w:rPr>
              <w:t>元</w:t>
            </w:r>
            <w:r>
              <w:rPr>
                <w:rFonts w:hint="eastAsia" w:ascii="仿宋_GB2312" w:hAnsi="仿宋_GB2312" w:eastAsia="仿宋_GB2312" w:cs="仿宋_GB2312"/>
                <w:color w:val="000000"/>
                <w:spacing w:val="-6"/>
                <w:sz w:val="24"/>
                <w:lang w:eastAsia="zh-CN"/>
              </w:rPr>
              <w:t>，</w:t>
            </w:r>
            <w:r>
              <w:rPr>
                <w:rFonts w:hint="eastAsia" w:ascii="仿宋_GB2312" w:hAnsi="仿宋_GB2312" w:eastAsia="仿宋_GB2312" w:cs="仿宋_GB2312"/>
                <w:color w:val="000000"/>
                <w:spacing w:val="-6"/>
                <w:sz w:val="24"/>
                <w:lang w:val="en-US" w:eastAsia="zh-CN"/>
              </w:rPr>
              <w:t>同比增长316万元，基本完成年初目标任务</w:t>
            </w:r>
            <w:r>
              <w:rPr>
                <w:rFonts w:hint="eastAsia" w:ascii="仿宋_GB2312" w:hAnsi="仿宋_GB2312" w:eastAsia="仿宋_GB2312" w:cs="仿宋_GB2312"/>
                <w:color w:val="000000"/>
                <w:spacing w:val="-6"/>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9800" w:type="dxa"/>
            <w:gridSpan w:val="17"/>
            <w:noWrap w:val="0"/>
            <w:vAlign w:val="center"/>
          </w:tcPr>
          <w:p>
            <w:pPr>
              <w:autoSpaceDN w:val="0"/>
              <w:spacing w:line="320" w:lineRule="exact"/>
              <w:jc w:val="center"/>
              <w:textAlignment w:val="center"/>
              <w:rPr>
                <w:rFonts w:hint="eastAsia" w:ascii="黑体" w:hAnsi="黑体" w:eastAsia="黑体" w:cs="黑体"/>
                <w:color w:val="000000"/>
                <w:sz w:val="28"/>
                <w:szCs w:val="28"/>
              </w:rPr>
            </w:pPr>
          </w:p>
          <w:p>
            <w:pPr>
              <w:autoSpaceDN w:val="0"/>
              <w:spacing w:line="320" w:lineRule="exact"/>
              <w:jc w:val="center"/>
              <w:textAlignment w:val="center"/>
              <w:rPr>
                <w:rFonts w:hint="eastAsia" w:ascii="黑体" w:hAnsi="黑体" w:eastAsia="黑体" w:cs="黑体"/>
                <w:color w:val="000000"/>
                <w:sz w:val="28"/>
                <w:szCs w:val="28"/>
              </w:rPr>
            </w:pPr>
          </w:p>
          <w:p>
            <w:pPr>
              <w:autoSpaceDN w:val="0"/>
              <w:spacing w:line="320" w:lineRule="exact"/>
              <w:jc w:val="center"/>
              <w:textAlignment w:val="center"/>
              <w:rPr>
                <w:rFonts w:hint="eastAsia" w:ascii="黑体" w:hAnsi="黑体" w:eastAsia="黑体" w:cs="黑体"/>
                <w:color w:val="000000"/>
                <w:sz w:val="28"/>
                <w:szCs w:val="28"/>
              </w:rPr>
            </w:pPr>
          </w:p>
          <w:p>
            <w:pPr>
              <w:autoSpaceDN w:val="0"/>
              <w:spacing w:line="320" w:lineRule="exact"/>
              <w:jc w:val="center"/>
              <w:textAlignment w:val="center"/>
              <w:rPr>
                <w:rFonts w:hint="eastAsia" w:ascii="黑体" w:hAnsi="黑体" w:eastAsia="黑体" w:cs="黑体"/>
                <w:color w:val="000000"/>
                <w:sz w:val="28"/>
                <w:szCs w:val="28"/>
              </w:rPr>
            </w:pPr>
          </w:p>
          <w:p>
            <w:pPr>
              <w:autoSpaceDN w:val="0"/>
              <w:spacing w:line="320" w:lineRule="exact"/>
              <w:jc w:val="center"/>
              <w:textAlignment w:val="center"/>
              <w:rPr>
                <w:rFonts w:hint="eastAsia" w:ascii="黑体" w:hAnsi="黑体" w:eastAsia="黑体" w:cs="黑体"/>
                <w:color w:val="000000"/>
                <w:sz w:val="28"/>
                <w:szCs w:val="28"/>
              </w:rPr>
            </w:pPr>
          </w:p>
          <w:p>
            <w:pPr>
              <w:autoSpaceDN w:val="0"/>
              <w:spacing w:line="320" w:lineRule="exact"/>
              <w:jc w:val="center"/>
              <w:textAlignment w:val="center"/>
              <w:rPr>
                <w:rFonts w:hint="eastAsia" w:ascii="黑体" w:hAnsi="黑体" w:eastAsia="黑体" w:cs="黑体"/>
                <w:color w:val="000000"/>
                <w:sz w:val="28"/>
                <w:szCs w:val="28"/>
              </w:rPr>
            </w:pPr>
          </w:p>
          <w:p>
            <w:pPr>
              <w:autoSpaceDN w:val="0"/>
              <w:spacing w:line="320" w:lineRule="exact"/>
              <w:jc w:val="center"/>
              <w:textAlignment w:val="center"/>
              <w:rPr>
                <w:rFonts w:hint="eastAsia" w:ascii="黑体" w:hAnsi="黑体" w:eastAsia="黑体" w:cs="黑体"/>
                <w:color w:val="000000"/>
                <w:sz w:val="28"/>
                <w:szCs w:val="28"/>
              </w:rPr>
            </w:pPr>
          </w:p>
          <w:p>
            <w:pPr>
              <w:autoSpaceDN w:val="0"/>
              <w:spacing w:line="320" w:lineRule="exact"/>
              <w:jc w:val="center"/>
              <w:textAlignment w:val="center"/>
              <w:rPr>
                <w:rFonts w:hint="eastAsia" w:ascii="黑体" w:hAnsi="黑体" w:eastAsia="黑体" w:cs="黑体"/>
                <w:color w:val="000000"/>
                <w:sz w:val="28"/>
                <w:szCs w:val="28"/>
              </w:rPr>
            </w:pPr>
          </w:p>
          <w:p>
            <w:pPr>
              <w:autoSpaceDN w:val="0"/>
              <w:spacing w:line="320" w:lineRule="exact"/>
              <w:jc w:val="center"/>
              <w:textAlignment w:val="center"/>
              <w:rPr>
                <w:rFonts w:hint="eastAsia" w:ascii="黑体" w:hAnsi="黑体" w:eastAsia="黑体" w:cs="黑体"/>
                <w:color w:val="000000"/>
                <w:sz w:val="28"/>
                <w:szCs w:val="28"/>
              </w:rPr>
            </w:pPr>
          </w:p>
          <w:p>
            <w:pPr>
              <w:autoSpaceDN w:val="0"/>
              <w:spacing w:line="320" w:lineRule="exact"/>
              <w:jc w:val="center"/>
              <w:textAlignment w:val="center"/>
              <w:rPr>
                <w:rFonts w:hint="eastAsia" w:ascii="黑体" w:hAnsi="黑体" w:eastAsia="黑体" w:cs="黑体"/>
                <w:color w:val="000000"/>
                <w:sz w:val="28"/>
                <w:szCs w:val="28"/>
              </w:rPr>
            </w:pPr>
          </w:p>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黑体" w:hAnsi="黑体" w:eastAsia="黑体" w:cs="黑体"/>
                <w:color w:val="000000"/>
                <w:sz w:val="28"/>
                <w:szCs w:val="28"/>
              </w:rPr>
              <w:t>二、部门（单位）收支情况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9800" w:type="dxa"/>
            <w:gridSpan w:val="17"/>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b/>
                <w:bCs/>
                <w:color w:val="000000"/>
                <w:sz w:val="24"/>
              </w:rPr>
              <w:t>年度收入情况（万元）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1700" w:type="dxa"/>
            <w:gridSpan w:val="3"/>
            <w:vMerge w:val="restart"/>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机构名称</w:t>
            </w:r>
          </w:p>
        </w:tc>
        <w:tc>
          <w:tcPr>
            <w:tcW w:w="1080" w:type="dxa"/>
            <w:vMerge w:val="restart"/>
            <w:tcBorders>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收入合计</w:t>
            </w:r>
          </w:p>
        </w:tc>
        <w:tc>
          <w:tcPr>
            <w:tcW w:w="7020" w:type="dxa"/>
            <w:gridSpan w:val="13"/>
            <w:tcBorders>
              <w:lef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其中：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1014" w:hRule="atLeast"/>
          <w:jc w:val="center"/>
        </w:trPr>
        <w:tc>
          <w:tcPr>
            <w:tcW w:w="1700" w:type="dxa"/>
            <w:gridSpan w:val="3"/>
            <w:vMerge w:val="continue"/>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080" w:type="dxa"/>
            <w:vMerge w:val="continue"/>
            <w:tcBorders>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355" w:type="dxa"/>
            <w:gridSpan w:val="2"/>
            <w:tcBorders>
              <w:lef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上年结转</w:t>
            </w:r>
          </w:p>
        </w:tc>
        <w:tc>
          <w:tcPr>
            <w:tcW w:w="1080" w:type="dxa"/>
            <w:gridSpan w:val="2"/>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公共财</w:t>
            </w:r>
          </w:p>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政拨款</w:t>
            </w:r>
          </w:p>
        </w:tc>
        <w:tc>
          <w:tcPr>
            <w:tcW w:w="1705" w:type="dxa"/>
            <w:gridSpan w:val="2"/>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政府基金拨款</w:t>
            </w:r>
          </w:p>
        </w:tc>
        <w:tc>
          <w:tcPr>
            <w:tcW w:w="1800" w:type="dxa"/>
            <w:gridSpan w:val="4"/>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纳入专户管理的非税收入拨款</w:t>
            </w:r>
          </w:p>
        </w:tc>
        <w:tc>
          <w:tcPr>
            <w:tcW w:w="1080" w:type="dxa"/>
            <w:gridSpan w:val="3"/>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其他</w:t>
            </w:r>
          </w:p>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收入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772" w:hRule="atLeast"/>
          <w:jc w:val="center"/>
        </w:trPr>
        <w:tc>
          <w:tcPr>
            <w:tcW w:w="1700" w:type="dxa"/>
            <w:gridSpan w:val="3"/>
            <w:noWrap w:val="0"/>
            <w:vAlign w:val="center"/>
          </w:tcPr>
          <w:p>
            <w:pPr>
              <w:autoSpaceDN w:val="0"/>
              <w:spacing w:line="320" w:lineRule="exact"/>
              <w:jc w:val="center"/>
              <w:textAlignment w:val="center"/>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岳阳县人民医院</w:t>
            </w:r>
          </w:p>
        </w:tc>
        <w:tc>
          <w:tcPr>
            <w:tcW w:w="1080" w:type="dxa"/>
            <w:tcBorders>
              <w:right w:val="single" w:color="auto" w:sz="4" w:space="0"/>
            </w:tcBorders>
            <w:noWrap w:val="0"/>
            <w:vAlign w:val="center"/>
          </w:tcPr>
          <w:p>
            <w:pPr>
              <w:autoSpaceDN w:val="0"/>
              <w:spacing w:line="320" w:lineRule="exact"/>
              <w:jc w:val="left"/>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20935.55</w:t>
            </w:r>
          </w:p>
        </w:tc>
        <w:tc>
          <w:tcPr>
            <w:tcW w:w="1355" w:type="dxa"/>
            <w:gridSpan w:val="2"/>
            <w:tcBorders>
              <w:lef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080" w:type="dxa"/>
            <w:gridSpan w:val="2"/>
            <w:noWrap w:val="0"/>
            <w:vAlign w:val="center"/>
          </w:tcPr>
          <w:p>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808.06</w:t>
            </w:r>
          </w:p>
        </w:tc>
        <w:tc>
          <w:tcPr>
            <w:tcW w:w="1705" w:type="dxa"/>
            <w:gridSpan w:val="2"/>
            <w:noWrap w:val="0"/>
            <w:vAlign w:val="center"/>
          </w:tcPr>
          <w:p>
            <w:pPr>
              <w:autoSpaceDN w:val="0"/>
              <w:spacing w:line="320" w:lineRule="exact"/>
              <w:jc w:val="left"/>
              <w:textAlignment w:val="center"/>
              <w:rPr>
                <w:rFonts w:hint="eastAsia" w:ascii="仿宋_GB2312" w:hAnsi="仿宋_GB2312" w:eastAsia="仿宋_GB2312" w:cs="仿宋_GB2312"/>
                <w:color w:val="000000"/>
                <w:sz w:val="24"/>
              </w:rPr>
            </w:pPr>
          </w:p>
        </w:tc>
        <w:tc>
          <w:tcPr>
            <w:tcW w:w="1800" w:type="dxa"/>
            <w:gridSpan w:val="4"/>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080" w:type="dxa"/>
            <w:gridSpan w:val="3"/>
            <w:noWrap w:val="0"/>
            <w:vAlign w:val="center"/>
          </w:tcPr>
          <w:p>
            <w:pPr>
              <w:autoSpaceDN w:val="0"/>
              <w:spacing w:line="320" w:lineRule="exact"/>
              <w:jc w:val="left"/>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20127.79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1700" w:type="dxa"/>
            <w:gridSpan w:val="3"/>
            <w:noWrap w:val="0"/>
            <w:vAlign w:val="center"/>
          </w:tcPr>
          <w:p>
            <w:pPr>
              <w:spacing w:line="320" w:lineRule="exact"/>
              <w:rPr>
                <w:rFonts w:hint="eastAsia" w:ascii="仿宋_GB2312" w:hAnsi="仿宋_GB2312" w:eastAsia="仿宋_GB2312" w:cs="仿宋_GB2312"/>
                <w:sz w:val="24"/>
              </w:rPr>
            </w:pPr>
          </w:p>
        </w:tc>
        <w:tc>
          <w:tcPr>
            <w:tcW w:w="1080" w:type="dxa"/>
            <w:tcBorders>
              <w:right w:val="single" w:color="auto" w:sz="4" w:space="0"/>
            </w:tcBorders>
            <w:noWrap w:val="0"/>
            <w:vAlign w:val="center"/>
          </w:tcPr>
          <w:p>
            <w:pPr>
              <w:autoSpaceDN w:val="0"/>
              <w:spacing w:line="320" w:lineRule="exact"/>
              <w:jc w:val="left"/>
              <w:textAlignment w:val="center"/>
              <w:rPr>
                <w:rFonts w:hint="eastAsia" w:ascii="仿宋_GB2312" w:hAnsi="仿宋_GB2312" w:eastAsia="仿宋_GB2312" w:cs="仿宋_GB2312"/>
                <w:color w:val="000000"/>
                <w:sz w:val="24"/>
              </w:rPr>
            </w:pPr>
          </w:p>
        </w:tc>
        <w:tc>
          <w:tcPr>
            <w:tcW w:w="1355" w:type="dxa"/>
            <w:gridSpan w:val="2"/>
            <w:tcBorders>
              <w:left w:val="single" w:color="auto" w:sz="4" w:space="0"/>
            </w:tcBorders>
            <w:noWrap w:val="0"/>
            <w:vAlign w:val="center"/>
          </w:tcPr>
          <w:p>
            <w:pPr>
              <w:autoSpaceDN w:val="0"/>
              <w:spacing w:line="320" w:lineRule="exact"/>
              <w:jc w:val="left"/>
              <w:textAlignment w:val="center"/>
              <w:rPr>
                <w:rFonts w:hint="eastAsia" w:ascii="仿宋_GB2312" w:hAnsi="仿宋_GB2312" w:eastAsia="仿宋_GB2312" w:cs="仿宋_GB2312"/>
                <w:color w:val="000000"/>
                <w:sz w:val="24"/>
              </w:rPr>
            </w:pPr>
          </w:p>
        </w:tc>
        <w:tc>
          <w:tcPr>
            <w:tcW w:w="1080" w:type="dxa"/>
            <w:gridSpan w:val="2"/>
            <w:noWrap w:val="0"/>
            <w:vAlign w:val="center"/>
          </w:tcPr>
          <w:p>
            <w:pPr>
              <w:autoSpaceDN w:val="0"/>
              <w:spacing w:line="320" w:lineRule="exact"/>
              <w:jc w:val="left"/>
              <w:textAlignment w:val="center"/>
              <w:rPr>
                <w:rFonts w:hint="eastAsia" w:ascii="仿宋_GB2312" w:hAnsi="仿宋_GB2312" w:eastAsia="仿宋_GB2312" w:cs="仿宋_GB2312"/>
                <w:color w:val="000000"/>
                <w:sz w:val="24"/>
              </w:rPr>
            </w:pPr>
          </w:p>
        </w:tc>
        <w:tc>
          <w:tcPr>
            <w:tcW w:w="1705" w:type="dxa"/>
            <w:gridSpan w:val="2"/>
            <w:noWrap w:val="0"/>
            <w:vAlign w:val="center"/>
          </w:tcPr>
          <w:p>
            <w:pPr>
              <w:autoSpaceDN w:val="0"/>
              <w:spacing w:line="320" w:lineRule="exact"/>
              <w:jc w:val="left"/>
              <w:textAlignment w:val="center"/>
              <w:rPr>
                <w:rFonts w:hint="eastAsia" w:ascii="仿宋_GB2312" w:hAnsi="仿宋_GB2312" w:eastAsia="仿宋_GB2312" w:cs="仿宋_GB2312"/>
                <w:color w:val="000000"/>
                <w:sz w:val="24"/>
              </w:rPr>
            </w:pPr>
          </w:p>
        </w:tc>
        <w:tc>
          <w:tcPr>
            <w:tcW w:w="1800" w:type="dxa"/>
            <w:gridSpan w:val="4"/>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080" w:type="dxa"/>
            <w:gridSpan w:val="3"/>
            <w:noWrap w:val="0"/>
            <w:vAlign w:val="center"/>
          </w:tcPr>
          <w:p>
            <w:pPr>
              <w:autoSpaceDN w:val="0"/>
              <w:spacing w:line="320" w:lineRule="exact"/>
              <w:jc w:val="left"/>
              <w:textAlignment w:val="center"/>
              <w:rPr>
                <w:rFonts w:hint="eastAsia"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1700" w:type="dxa"/>
            <w:gridSpan w:val="3"/>
            <w:noWrap w:val="0"/>
            <w:vAlign w:val="center"/>
          </w:tcPr>
          <w:p>
            <w:pPr>
              <w:spacing w:line="320" w:lineRule="exact"/>
              <w:rPr>
                <w:rFonts w:hint="eastAsia" w:ascii="仿宋_GB2312" w:hAnsi="仿宋_GB2312" w:eastAsia="仿宋_GB2312" w:cs="仿宋_GB2312"/>
                <w:sz w:val="24"/>
              </w:rPr>
            </w:pPr>
          </w:p>
        </w:tc>
        <w:tc>
          <w:tcPr>
            <w:tcW w:w="1080" w:type="dxa"/>
            <w:tcBorders>
              <w:right w:val="single" w:color="auto" w:sz="4" w:space="0"/>
            </w:tcBorders>
            <w:noWrap w:val="0"/>
            <w:vAlign w:val="center"/>
          </w:tcPr>
          <w:p>
            <w:pPr>
              <w:autoSpaceDN w:val="0"/>
              <w:spacing w:line="320" w:lineRule="exact"/>
              <w:jc w:val="left"/>
              <w:textAlignment w:val="center"/>
              <w:rPr>
                <w:rFonts w:hint="eastAsia" w:ascii="仿宋_GB2312" w:hAnsi="仿宋_GB2312" w:eastAsia="仿宋_GB2312" w:cs="仿宋_GB2312"/>
                <w:color w:val="000000"/>
                <w:sz w:val="24"/>
              </w:rPr>
            </w:pPr>
          </w:p>
        </w:tc>
        <w:tc>
          <w:tcPr>
            <w:tcW w:w="1355" w:type="dxa"/>
            <w:gridSpan w:val="2"/>
            <w:tcBorders>
              <w:left w:val="single" w:color="auto" w:sz="4" w:space="0"/>
            </w:tcBorders>
            <w:noWrap w:val="0"/>
            <w:vAlign w:val="center"/>
          </w:tcPr>
          <w:p>
            <w:pPr>
              <w:autoSpaceDN w:val="0"/>
              <w:spacing w:line="320" w:lineRule="exact"/>
              <w:jc w:val="left"/>
              <w:textAlignment w:val="center"/>
              <w:rPr>
                <w:rFonts w:hint="eastAsia" w:ascii="仿宋_GB2312" w:hAnsi="仿宋_GB2312" w:eastAsia="仿宋_GB2312" w:cs="仿宋_GB2312"/>
                <w:color w:val="000000"/>
                <w:sz w:val="24"/>
              </w:rPr>
            </w:pPr>
          </w:p>
        </w:tc>
        <w:tc>
          <w:tcPr>
            <w:tcW w:w="1080" w:type="dxa"/>
            <w:gridSpan w:val="2"/>
            <w:noWrap w:val="0"/>
            <w:vAlign w:val="center"/>
          </w:tcPr>
          <w:p>
            <w:pPr>
              <w:autoSpaceDN w:val="0"/>
              <w:spacing w:line="320" w:lineRule="exact"/>
              <w:jc w:val="left"/>
              <w:textAlignment w:val="center"/>
              <w:rPr>
                <w:rFonts w:hint="eastAsia" w:ascii="仿宋_GB2312" w:hAnsi="仿宋_GB2312" w:eastAsia="仿宋_GB2312" w:cs="仿宋_GB2312"/>
                <w:color w:val="000000"/>
                <w:sz w:val="24"/>
              </w:rPr>
            </w:pPr>
          </w:p>
        </w:tc>
        <w:tc>
          <w:tcPr>
            <w:tcW w:w="1705" w:type="dxa"/>
            <w:gridSpan w:val="2"/>
            <w:noWrap w:val="0"/>
            <w:vAlign w:val="center"/>
          </w:tcPr>
          <w:p>
            <w:pPr>
              <w:autoSpaceDN w:val="0"/>
              <w:spacing w:line="320" w:lineRule="exact"/>
              <w:jc w:val="left"/>
              <w:textAlignment w:val="center"/>
              <w:rPr>
                <w:rFonts w:hint="eastAsia" w:ascii="仿宋_GB2312" w:hAnsi="仿宋_GB2312" w:eastAsia="仿宋_GB2312" w:cs="仿宋_GB2312"/>
                <w:color w:val="000000"/>
                <w:sz w:val="24"/>
              </w:rPr>
            </w:pPr>
          </w:p>
        </w:tc>
        <w:tc>
          <w:tcPr>
            <w:tcW w:w="1800" w:type="dxa"/>
            <w:gridSpan w:val="4"/>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080" w:type="dxa"/>
            <w:gridSpan w:val="3"/>
            <w:noWrap w:val="0"/>
            <w:vAlign w:val="center"/>
          </w:tcPr>
          <w:p>
            <w:pPr>
              <w:autoSpaceDN w:val="0"/>
              <w:spacing w:line="320" w:lineRule="exact"/>
              <w:jc w:val="left"/>
              <w:textAlignment w:val="center"/>
              <w:rPr>
                <w:rFonts w:hint="eastAsia"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1700" w:type="dxa"/>
            <w:gridSpan w:val="3"/>
            <w:noWrap w:val="0"/>
            <w:vAlign w:val="center"/>
          </w:tcPr>
          <w:p>
            <w:pPr>
              <w:spacing w:line="320" w:lineRule="exact"/>
              <w:rPr>
                <w:rFonts w:hint="eastAsia" w:ascii="仿宋_GB2312" w:hAnsi="仿宋_GB2312" w:eastAsia="仿宋_GB2312" w:cs="仿宋_GB2312"/>
                <w:sz w:val="24"/>
              </w:rPr>
            </w:pPr>
          </w:p>
        </w:tc>
        <w:tc>
          <w:tcPr>
            <w:tcW w:w="1080" w:type="dxa"/>
            <w:tcBorders>
              <w:right w:val="single" w:color="auto" w:sz="4" w:space="0"/>
            </w:tcBorders>
            <w:noWrap w:val="0"/>
            <w:vAlign w:val="center"/>
          </w:tcPr>
          <w:p>
            <w:pPr>
              <w:autoSpaceDN w:val="0"/>
              <w:spacing w:line="320" w:lineRule="exact"/>
              <w:jc w:val="left"/>
              <w:textAlignment w:val="center"/>
              <w:rPr>
                <w:rFonts w:hint="eastAsia" w:ascii="仿宋_GB2312" w:hAnsi="仿宋_GB2312" w:eastAsia="仿宋_GB2312" w:cs="仿宋_GB2312"/>
                <w:color w:val="000000"/>
                <w:sz w:val="24"/>
              </w:rPr>
            </w:pPr>
          </w:p>
        </w:tc>
        <w:tc>
          <w:tcPr>
            <w:tcW w:w="1355" w:type="dxa"/>
            <w:gridSpan w:val="2"/>
            <w:tcBorders>
              <w:left w:val="single" w:color="auto" w:sz="4" w:space="0"/>
            </w:tcBorders>
            <w:noWrap w:val="0"/>
            <w:vAlign w:val="center"/>
          </w:tcPr>
          <w:p>
            <w:pPr>
              <w:autoSpaceDN w:val="0"/>
              <w:spacing w:line="320" w:lineRule="exact"/>
              <w:jc w:val="left"/>
              <w:textAlignment w:val="center"/>
              <w:rPr>
                <w:rFonts w:hint="eastAsia" w:ascii="仿宋_GB2312" w:hAnsi="仿宋_GB2312" w:eastAsia="仿宋_GB2312" w:cs="仿宋_GB2312"/>
                <w:color w:val="000000"/>
                <w:sz w:val="24"/>
              </w:rPr>
            </w:pPr>
          </w:p>
        </w:tc>
        <w:tc>
          <w:tcPr>
            <w:tcW w:w="1080" w:type="dxa"/>
            <w:gridSpan w:val="2"/>
            <w:noWrap w:val="0"/>
            <w:vAlign w:val="center"/>
          </w:tcPr>
          <w:p>
            <w:pPr>
              <w:autoSpaceDN w:val="0"/>
              <w:spacing w:line="320" w:lineRule="exact"/>
              <w:jc w:val="left"/>
              <w:textAlignment w:val="center"/>
              <w:rPr>
                <w:rFonts w:hint="eastAsia" w:ascii="仿宋_GB2312" w:hAnsi="仿宋_GB2312" w:eastAsia="仿宋_GB2312" w:cs="仿宋_GB2312"/>
                <w:color w:val="000000"/>
                <w:sz w:val="24"/>
              </w:rPr>
            </w:pPr>
          </w:p>
        </w:tc>
        <w:tc>
          <w:tcPr>
            <w:tcW w:w="1705" w:type="dxa"/>
            <w:gridSpan w:val="2"/>
            <w:noWrap w:val="0"/>
            <w:vAlign w:val="center"/>
          </w:tcPr>
          <w:p>
            <w:pPr>
              <w:autoSpaceDN w:val="0"/>
              <w:spacing w:line="320" w:lineRule="exact"/>
              <w:jc w:val="left"/>
              <w:textAlignment w:val="center"/>
              <w:rPr>
                <w:rFonts w:hint="eastAsia" w:ascii="仿宋_GB2312" w:hAnsi="仿宋_GB2312" w:eastAsia="仿宋_GB2312" w:cs="仿宋_GB2312"/>
                <w:color w:val="000000"/>
                <w:sz w:val="24"/>
              </w:rPr>
            </w:pPr>
          </w:p>
        </w:tc>
        <w:tc>
          <w:tcPr>
            <w:tcW w:w="1800" w:type="dxa"/>
            <w:gridSpan w:val="4"/>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080" w:type="dxa"/>
            <w:gridSpan w:val="3"/>
            <w:noWrap w:val="0"/>
            <w:vAlign w:val="center"/>
          </w:tcPr>
          <w:p>
            <w:pPr>
              <w:autoSpaceDN w:val="0"/>
              <w:spacing w:line="320" w:lineRule="exact"/>
              <w:jc w:val="left"/>
              <w:textAlignment w:val="center"/>
              <w:rPr>
                <w:rFonts w:hint="eastAsia"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9800" w:type="dxa"/>
            <w:gridSpan w:val="17"/>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b/>
                <w:bCs/>
                <w:color w:val="000000"/>
                <w:sz w:val="24"/>
              </w:rPr>
              <w:t>部门（单位）年度支出和结余情况（万元）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3"/>
            <w:vMerge w:val="restart"/>
            <w:noWrap w:val="0"/>
            <w:vAlign w:val="center"/>
          </w:tcPr>
          <w:p>
            <w:pPr>
              <w:snapToGrid w:val="0"/>
              <w:spacing w:line="3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机构名称</w:t>
            </w:r>
          </w:p>
        </w:tc>
        <w:tc>
          <w:tcPr>
            <w:tcW w:w="1080" w:type="dxa"/>
            <w:vMerge w:val="restart"/>
            <w:tcBorders>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支出合计</w:t>
            </w:r>
          </w:p>
        </w:tc>
        <w:tc>
          <w:tcPr>
            <w:tcW w:w="5675" w:type="dxa"/>
            <w:gridSpan w:val="9"/>
            <w:tcBorders>
              <w:left w:val="single" w:color="auto" w:sz="4" w:space="0"/>
              <w:bottom w:val="single" w:color="auto" w:sz="4" w:space="0"/>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其中：</w:t>
            </w:r>
          </w:p>
        </w:tc>
        <w:tc>
          <w:tcPr>
            <w:tcW w:w="1345" w:type="dxa"/>
            <w:gridSpan w:val="4"/>
            <w:tcBorders>
              <w:left w:val="single" w:color="auto" w:sz="4" w:space="0"/>
              <w:bottom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结余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3"/>
            <w:vMerge w:val="continue"/>
            <w:noWrap w:val="0"/>
            <w:vAlign w:val="center"/>
          </w:tcPr>
          <w:p>
            <w:pPr>
              <w:spacing w:line="320" w:lineRule="exact"/>
              <w:jc w:val="center"/>
              <w:rPr>
                <w:rFonts w:hint="eastAsia" w:ascii="仿宋_GB2312" w:hAnsi="仿宋_GB2312" w:eastAsia="仿宋_GB2312" w:cs="仿宋_GB2312"/>
                <w:sz w:val="24"/>
              </w:rPr>
            </w:pPr>
          </w:p>
        </w:tc>
        <w:tc>
          <w:tcPr>
            <w:tcW w:w="1080" w:type="dxa"/>
            <w:vMerge w:val="continue"/>
            <w:tcBorders>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355" w:type="dxa"/>
            <w:gridSpan w:val="2"/>
            <w:vMerge w:val="restart"/>
            <w:tcBorders>
              <w:top w:val="single" w:color="auto" w:sz="4" w:space="0"/>
              <w:lef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基本支出</w:t>
            </w:r>
          </w:p>
        </w:tc>
        <w:tc>
          <w:tcPr>
            <w:tcW w:w="3240" w:type="dxa"/>
            <w:gridSpan w:val="6"/>
            <w:tcBorders>
              <w:top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其中：</w:t>
            </w:r>
          </w:p>
        </w:tc>
        <w:tc>
          <w:tcPr>
            <w:tcW w:w="1080" w:type="dxa"/>
            <w:vMerge w:val="restart"/>
            <w:tcBorders>
              <w:top w:val="single" w:color="auto" w:sz="4" w:space="0"/>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项目支出</w:t>
            </w:r>
          </w:p>
        </w:tc>
        <w:tc>
          <w:tcPr>
            <w:tcW w:w="720" w:type="dxa"/>
            <w:gridSpan w:val="3"/>
            <w:vMerge w:val="restart"/>
            <w:tcBorders>
              <w:top w:val="single" w:color="auto" w:sz="4" w:space="0"/>
              <w:left w:val="single" w:color="auto" w:sz="4" w:space="0"/>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当年结余</w:t>
            </w:r>
          </w:p>
        </w:tc>
        <w:tc>
          <w:tcPr>
            <w:tcW w:w="625" w:type="dxa"/>
            <w:vMerge w:val="restart"/>
            <w:tcBorders>
              <w:top w:val="single" w:color="auto" w:sz="4" w:space="0"/>
              <w:lef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累计结余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3"/>
            <w:vMerge w:val="continue"/>
            <w:noWrap w:val="0"/>
            <w:vAlign w:val="center"/>
          </w:tcPr>
          <w:p>
            <w:pPr>
              <w:spacing w:line="320" w:lineRule="exact"/>
              <w:jc w:val="center"/>
              <w:rPr>
                <w:rFonts w:hint="eastAsia" w:ascii="仿宋_GB2312" w:hAnsi="仿宋_GB2312" w:eastAsia="仿宋_GB2312" w:cs="仿宋_GB2312"/>
                <w:sz w:val="24"/>
              </w:rPr>
            </w:pPr>
          </w:p>
        </w:tc>
        <w:tc>
          <w:tcPr>
            <w:tcW w:w="1080" w:type="dxa"/>
            <w:vMerge w:val="continue"/>
            <w:tcBorders>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355" w:type="dxa"/>
            <w:gridSpan w:val="2"/>
            <w:vMerge w:val="continue"/>
            <w:tcBorders>
              <w:lef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080" w:type="dxa"/>
            <w:gridSpan w:val="2"/>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人员支出</w:t>
            </w:r>
          </w:p>
        </w:tc>
        <w:tc>
          <w:tcPr>
            <w:tcW w:w="2160" w:type="dxa"/>
            <w:gridSpan w:val="4"/>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公用支出</w:t>
            </w:r>
          </w:p>
        </w:tc>
        <w:tc>
          <w:tcPr>
            <w:tcW w:w="1080" w:type="dxa"/>
            <w:vMerge w:val="continue"/>
            <w:tcBorders>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720" w:type="dxa"/>
            <w:gridSpan w:val="3"/>
            <w:vMerge w:val="continue"/>
            <w:tcBorders>
              <w:left w:val="single" w:color="auto" w:sz="4" w:space="0"/>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625" w:type="dxa"/>
            <w:vMerge w:val="continue"/>
            <w:tcBorders>
              <w:lef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877" w:hRule="atLeast"/>
          <w:jc w:val="center"/>
        </w:trPr>
        <w:tc>
          <w:tcPr>
            <w:tcW w:w="1700" w:type="dxa"/>
            <w:gridSpan w:val="3"/>
            <w:noWrap w:val="0"/>
            <w:vAlign w:val="center"/>
          </w:tcPr>
          <w:p>
            <w:pPr>
              <w:spacing w:line="320" w:lineRule="exact"/>
              <w:jc w:val="center"/>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岳阳县人民医院</w:t>
            </w:r>
          </w:p>
        </w:tc>
        <w:tc>
          <w:tcPr>
            <w:tcW w:w="1080" w:type="dxa"/>
            <w:tcBorders>
              <w:right w:val="single" w:color="auto" w:sz="4" w:space="0"/>
            </w:tcBorders>
            <w:noWrap w:val="0"/>
            <w:vAlign w:val="center"/>
          </w:tcPr>
          <w:p>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20935.55</w:t>
            </w:r>
          </w:p>
        </w:tc>
        <w:tc>
          <w:tcPr>
            <w:tcW w:w="1355" w:type="dxa"/>
            <w:gridSpan w:val="2"/>
            <w:tcBorders>
              <w:left w:val="single" w:color="auto" w:sz="4" w:space="0"/>
            </w:tcBorders>
            <w:noWrap w:val="0"/>
            <w:vAlign w:val="center"/>
          </w:tcPr>
          <w:p>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20266.69</w:t>
            </w:r>
          </w:p>
        </w:tc>
        <w:tc>
          <w:tcPr>
            <w:tcW w:w="1080" w:type="dxa"/>
            <w:gridSpan w:val="2"/>
            <w:noWrap w:val="0"/>
            <w:vAlign w:val="center"/>
          </w:tcPr>
          <w:p>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7307.44</w:t>
            </w:r>
          </w:p>
        </w:tc>
        <w:tc>
          <w:tcPr>
            <w:tcW w:w="2160" w:type="dxa"/>
            <w:gridSpan w:val="4"/>
            <w:noWrap w:val="0"/>
            <w:vAlign w:val="center"/>
          </w:tcPr>
          <w:p>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12959.25</w:t>
            </w:r>
          </w:p>
        </w:tc>
        <w:tc>
          <w:tcPr>
            <w:tcW w:w="1080" w:type="dxa"/>
            <w:noWrap w:val="0"/>
            <w:vAlign w:val="center"/>
          </w:tcPr>
          <w:p>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668.86</w:t>
            </w:r>
          </w:p>
        </w:tc>
        <w:tc>
          <w:tcPr>
            <w:tcW w:w="720" w:type="dxa"/>
            <w:gridSpan w:val="3"/>
            <w:tcBorders>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625" w:type="dxa"/>
            <w:tcBorders>
              <w:lef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3"/>
            <w:noWrap w:val="0"/>
            <w:vAlign w:val="center"/>
          </w:tcPr>
          <w:p>
            <w:pPr>
              <w:spacing w:line="320" w:lineRule="exact"/>
              <w:jc w:val="left"/>
              <w:rPr>
                <w:rFonts w:hint="eastAsia" w:ascii="仿宋_GB2312" w:hAnsi="仿宋_GB2312" w:eastAsia="仿宋_GB2312" w:cs="仿宋_GB2312"/>
                <w:color w:val="000000"/>
                <w:sz w:val="24"/>
              </w:rPr>
            </w:pPr>
          </w:p>
        </w:tc>
        <w:tc>
          <w:tcPr>
            <w:tcW w:w="1080" w:type="dxa"/>
            <w:tcBorders>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355" w:type="dxa"/>
            <w:gridSpan w:val="2"/>
            <w:tcBorders>
              <w:lef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080" w:type="dxa"/>
            <w:gridSpan w:val="2"/>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2160" w:type="dxa"/>
            <w:gridSpan w:val="4"/>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080" w:type="dxa"/>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720" w:type="dxa"/>
            <w:gridSpan w:val="3"/>
            <w:tcBorders>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625" w:type="dxa"/>
            <w:tcBorders>
              <w:lef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3"/>
            <w:noWrap w:val="0"/>
            <w:vAlign w:val="center"/>
          </w:tcPr>
          <w:p>
            <w:pPr>
              <w:spacing w:line="320" w:lineRule="exact"/>
              <w:jc w:val="left"/>
              <w:rPr>
                <w:rFonts w:hint="eastAsia" w:ascii="仿宋_GB2312" w:hAnsi="仿宋_GB2312" w:eastAsia="仿宋_GB2312" w:cs="仿宋_GB2312"/>
                <w:color w:val="000000"/>
                <w:sz w:val="24"/>
              </w:rPr>
            </w:pPr>
          </w:p>
        </w:tc>
        <w:tc>
          <w:tcPr>
            <w:tcW w:w="1080" w:type="dxa"/>
            <w:tcBorders>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355" w:type="dxa"/>
            <w:gridSpan w:val="2"/>
            <w:tcBorders>
              <w:lef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080" w:type="dxa"/>
            <w:gridSpan w:val="2"/>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2160" w:type="dxa"/>
            <w:gridSpan w:val="4"/>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080" w:type="dxa"/>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720" w:type="dxa"/>
            <w:gridSpan w:val="3"/>
            <w:tcBorders>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625" w:type="dxa"/>
            <w:tcBorders>
              <w:lef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3"/>
            <w:noWrap w:val="0"/>
            <w:vAlign w:val="center"/>
          </w:tcPr>
          <w:p>
            <w:pPr>
              <w:spacing w:line="320" w:lineRule="exact"/>
              <w:jc w:val="left"/>
              <w:rPr>
                <w:rFonts w:hint="eastAsia" w:ascii="仿宋_GB2312" w:hAnsi="仿宋_GB2312" w:eastAsia="仿宋_GB2312" w:cs="仿宋_GB2312"/>
                <w:color w:val="000000"/>
                <w:sz w:val="24"/>
              </w:rPr>
            </w:pPr>
          </w:p>
        </w:tc>
        <w:tc>
          <w:tcPr>
            <w:tcW w:w="1080" w:type="dxa"/>
            <w:tcBorders>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355" w:type="dxa"/>
            <w:gridSpan w:val="2"/>
            <w:tcBorders>
              <w:lef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080" w:type="dxa"/>
            <w:gridSpan w:val="2"/>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2160" w:type="dxa"/>
            <w:gridSpan w:val="4"/>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080" w:type="dxa"/>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720" w:type="dxa"/>
            <w:gridSpan w:val="3"/>
            <w:tcBorders>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625" w:type="dxa"/>
            <w:tcBorders>
              <w:lef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3"/>
            <w:vMerge w:val="restart"/>
            <w:noWrap w:val="0"/>
            <w:vAlign w:val="center"/>
          </w:tcPr>
          <w:p>
            <w:pPr>
              <w:spacing w:line="3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机构名称</w:t>
            </w:r>
          </w:p>
        </w:tc>
        <w:tc>
          <w:tcPr>
            <w:tcW w:w="1080" w:type="dxa"/>
            <w:vMerge w:val="restart"/>
            <w:tcBorders>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三公经费</w:t>
            </w:r>
          </w:p>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合计</w:t>
            </w:r>
          </w:p>
        </w:tc>
        <w:tc>
          <w:tcPr>
            <w:tcW w:w="7020" w:type="dxa"/>
            <w:gridSpan w:val="13"/>
            <w:tcBorders>
              <w:lef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其中：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3"/>
            <w:vMerge w:val="continue"/>
            <w:noWrap w:val="0"/>
            <w:vAlign w:val="center"/>
          </w:tcPr>
          <w:p>
            <w:pPr>
              <w:spacing w:line="320" w:lineRule="exact"/>
              <w:jc w:val="center"/>
              <w:rPr>
                <w:rFonts w:hint="eastAsia" w:ascii="仿宋_GB2312" w:hAnsi="仿宋_GB2312" w:eastAsia="仿宋_GB2312" w:cs="仿宋_GB2312"/>
                <w:sz w:val="24"/>
              </w:rPr>
            </w:pPr>
          </w:p>
        </w:tc>
        <w:tc>
          <w:tcPr>
            <w:tcW w:w="1080" w:type="dxa"/>
            <w:vMerge w:val="continue"/>
            <w:tcBorders>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355" w:type="dxa"/>
            <w:gridSpan w:val="2"/>
            <w:tcBorders>
              <w:lef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公务接待费</w:t>
            </w:r>
          </w:p>
        </w:tc>
        <w:tc>
          <w:tcPr>
            <w:tcW w:w="1080" w:type="dxa"/>
            <w:gridSpan w:val="2"/>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公务用车运维费</w:t>
            </w:r>
          </w:p>
        </w:tc>
        <w:tc>
          <w:tcPr>
            <w:tcW w:w="2160" w:type="dxa"/>
            <w:gridSpan w:val="4"/>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公务用车购置费</w:t>
            </w:r>
          </w:p>
        </w:tc>
        <w:tc>
          <w:tcPr>
            <w:tcW w:w="2425" w:type="dxa"/>
            <w:gridSpan w:val="5"/>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因公出国费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858" w:hRule="atLeast"/>
          <w:jc w:val="center"/>
        </w:trPr>
        <w:tc>
          <w:tcPr>
            <w:tcW w:w="1700" w:type="dxa"/>
            <w:gridSpan w:val="3"/>
            <w:noWrap w:val="0"/>
            <w:vAlign w:val="center"/>
          </w:tcPr>
          <w:p>
            <w:pPr>
              <w:spacing w:line="320" w:lineRule="exact"/>
              <w:jc w:val="center"/>
              <w:rPr>
                <w:rFonts w:hint="eastAsia" w:ascii="仿宋_GB2312" w:hAnsi="仿宋_GB2312" w:eastAsia="仿宋_GB2312" w:cs="仿宋_GB2312"/>
                <w:sz w:val="24"/>
              </w:rPr>
            </w:pPr>
          </w:p>
        </w:tc>
        <w:tc>
          <w:tcPr>
            <w:tcW w:w="1080" w:type="dxa"/>
            <w:tcBorders>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355" w:type="dxa"/>
            <w:gridSpan w:val="2"/>
            <w:tcBorders>
              <w:lef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080" w:type="dxa"/>
            <w:gridSpan w:val="2"/>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2160" w:type="dxa"/>
            <w:gridSpan w:val="4"/>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2425" w:type="dxa"/>
            <w:gridSpan w:val="5"/>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3"/>
            <w:noWrap w:val="0"/>
            <w:vAlign w:val="center"/>
          </w:tcPr>
          <w:p>
            <w:pPr>
              <w:spacing w:line="320" w:lineRule="exact"/>
              <w:jc w:val="left"/>
              <w:rPr>
                <w:rFonts w:hint="eastAsia" w:ascii="仿宋_GB2312" w:hAnsi="仿宋_GB2312" w:eastAsia="仿宋_GB2312" w:cs="仿宋_GB2312"/>
                <w:sz w:val="24"/>
              </w:rPr>
            </w:pPr>
          </w:p>
        </w:tc>
        <w:tc>
          <w:tcPr>
            <w:tcW w:w="1080" w:type="dxa"/>
            <w:tcBorders>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355" w:type="dxa"/>
            <w:gridSpan w:val="2"/>
            <w:tcBorders>
              <w:lef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080" w:type="dxa"/>
            <w:gridSpan w:val="2"/>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2160" w:type="dxa"/>
            <w:gridSpan w:val="4"/>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2425" w:type="dxa"/>
            <w:gridSpan w:val="5"/>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3"/>
            <w:noWrap w:val="0"/>
            <w:vAlign w:val="center"/>
          </w:tcPr>
          <w:p>
            <w:pPr>
              <w:spacing w:line="320" w:lineRule="exact"/>
              <w:jc w:val="left"/>
              <w:rPr>
                <w:rFonts w:hint="eastAsia" w:ascii="仿宋_GB2312" w:hAnsi="仿宋_GB2312" w:eastAsia="仿宋_GB2312" w:cs="仿宋_GB2312"/>
                <w:sz w:val="24"/>
              </w:rPr>
            </w:pPr>
          </w:p>
        </w:tc>
        <w:tc>
          <w:tcPr>
            <w:tcW w:w="1080" w:type="dxa"/>
            <w:tcBorders>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355" w:type="dxa"/>
            <w:gridSpan w:val="2"/>
            <w:tcBorders>
              <w:lef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080" w:type="dxa"/>
            <w:gridSpan w:val="2"/>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2160" w:type="dxa"/>
            <w:gridSpan w:val="4"/>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2425" w:type="dxa"/>
            <w:gridSpan w:val="5"/>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3"/>
            <w:noWrap w:val="0"/>
            <w:vAlign w:val="center"/>
          </w:tcPr>
          <w:p>
            <w:pPr>
              <w:spacing w:line="320" w:lineRule="exact"/>
              <w:jc w:val="left"/>
              <w:rPr>
                <w:rFonts w:hint="eastAsia" w:ascii="仿宋_GB2312" w:hAnsi="仿宋_GB2312" w:eastAsia="仿宋_GB2312" w:cs="仿宋_GB2312"/>
                <w:sz w:val="24"/>
              </w:rPr>
            </w:pPr>
          </w:p>
        </w:tc>
        <w:tc>
          <w:tcPr>
            <w:tcW w:w="1080" w:type="dxa"/>
            <w:tcBorders>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355" w:type="dxa"/>
            <w:gridSpan w:val="2"/>
            <w:tcBorders>
              <w:lef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080" w:type="dxa"/>
            <w:gridSpan w:val="2"/>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2160" w:type="dxa"/>
            <w:gridSpan w:val="4"/>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2425" w:type="dxa"/>
            <w:gridSpan w:val="5"/>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3"/>
            <w:vMerge w:val="restart"/>
            <w:noWrap w:val="0"/>
            <w:vAlign w:val="center"/>
          </w:tcPr>
          <w:p>
            <w:pPr>
              <w:spacing w:line="320" w:lineRule="exact"/>
              <w:jc w:val="center"/>
              <w:rPr>
                <w:rFonts w:hint="eastAsia" w:ascii="仿宋_GB2312" w:hAnsi="仿宋_GB2312" w:eastAsia="仿宋_GB2312" w:cs="仿宋_GB2312"/>
                <w:sz w:val="24"/>
              </w:rPr>
            </w:pPr>
            <w:r>
              <w:rPr>
                <w:rFonts w:hint="eastAsia" w:ascii="仿宋_GB2312" w:hAnsi="仿宋_GB2312" w:eastAsia="仿宋_GB2312" w:cs="仿宋_GB2312"/>
                <w:sz w:val="24"/>
              </w:rPr>
              <w:t>机构名称</w:t>
            </w:r>
          </w:p>
        </w:tc>
        <w:tc>
          <w:tcPr>
            <w:tcW w:w="1080" w:type="dxa"/>
            <w:vMerge w:val="restart"/>
            <w:tcBorders>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固定资产</w:t>
            </w:r>
          </w:p>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合计</w:t>
            </w:r>
          </w:p>
        </w:tc>
        <w:tc>
          <w:tcPr>
            <w:tcW w:w="6079" w:type="dxa"/>
            <w:gridSpan w:val="11"/>
            <w:tcBorders>
              <w:left w:val="single" w:color="auto" w:sz="4" w:space="0"/>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其中：</w:t>
            </w:r>
          </w:p>
        </w:tc>
        <w:tc>
          <w:tcPr>
            <w:tcW w:w="941" w:type="dxa"/>
            <w:gridSpan w:val="2"/>
            <w:vMerge w:val="restart"/>
            <w:tcBorders>
              <w:lef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3"/>
            <w:vMerge w:val="continue"/>
            <w:noWrap w:val="0"/>
            <w:vAlign w:val="center"/>
          </w:tcPr>
          <w:p>
            <w:pPr>
              <w:spacing w:line="320" w:lineRule="exact"/>
              <w:jc w:val="center"/>
              <w:rPr>
                <w:rFonts w:hint="eastAsia" w:ascii="仿宋_GB2312" w:hAnsi="仿宋_GB2312" w:eastAsia="仿宋_GB2312" w:cs="仿宋_GB2312"/>
                <w:sz w:val="24"/>
              </w:rPr>
            </w:pPr>
          </w:p>
        </w:tc>
        <w:tc>
          <w:tcPr>
            <w:tcW w:w="1080" w:type="dxa"/>
            <w:vMerge w:val="continue"/>
            <w:tcBorders>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2435" w:type="dxa"/>
            <w:gridSpan w:val="4"/>
            <w:tcBorders>
              <w:lef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在用固定资产</w:t>
            </w:r>
          </w:p>
        </w:tc>
        <w:tc>
          <w:tcPr>
            <w:tcW w:w="3644" w:type="dxa"/>
            <w:gridSpan w:val="7"/>
            <w:tcBorders>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出租固定资产</w:t>
            </w:r>
          </w:p>
        </w:tc>
        <w:tc>
          <w:tcPr>
            <w:tcW w:w="941" w:type="dxa"/>
            <w:gridSpan w:val="2"/>
            <w:vMerge w:val="continue"/>
            <w:tcBorders>
              <w:lef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855" w:hRule="atLeast"/>
          <w:jc w:val="center"/>
        </w:trPr>
        <w:tc>
          <w:tcPr>
            <w:tcW w:w="1700" w:type="dxa"/>
            <w:gridSpan w:val="3"/>
            <w:noWrap w:val="0"/>
            <w:vAlign w:val="center"/>
          </w:tcPr>
          <w:p>
            <w:pPr>
              <w:spacing w:line="320" w:lineRule="exact"/>
              <w:jc w:val="center"/>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lang w:val="en-US" w:eastAsia="zh-CN"/>
              </w:rPr>
              <w:t>岳阳县人民医院</w:t>
            </w:r>
          </w:p>
        </w:tc>
        <w:tc>
          <w:tcPr>
            <w:tcW w:w="1080" w:type="dxa"/>
            <w:tcBorders>
              <w:right w:val="single" w:color="auto" w:sz="4" w:space="0"/>
            </w:tcBorders>
            <w:noWrap w:val="0"/>
            <w:vAlign w:val="center"/>
          </w:tcPr>
          <w:p>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23141.76</w:t>
            </w:r>
          </w:p>
        </w:tc>
        <w:tc>
          <w:tcPr>
            <w:tcW w:w="2435" w:type="dxa"/>
            <w:gridSpan w:val="4"/>
            <w:tcBorders>
              <w:left w:val="single" w:color="auto" w:sz="4" w:space="0"/>
            </w:tcBorders>
            <w:noWrap w:val="0"/>
            <w:vAlign w:val="center"/>
          </w:tcPr>
          <w:p>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23141.76</w:t>
            </w:r>
          </w:p>
        </w:tc>
        <w:tc>
          <w:tcPr>
            <w:tcW w:w="3644" w:type="dxa"/>
            <w:gridSpan w:val="7"/>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941" w:type="dxa"/>
            <w:gridSpan w:val="2"/>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3"/>
            <w:noWrap w:val="0"/>
            <w:vAlign w:val="center"/>
          </w:tcPr>
          <w:p>
            <w:pPr>
              <w:spacing w:line="320" w:lineRule="exact"/>
              <w:jc w:val="left"/>
              <w:rPr>
                <w:rFonts w:hint="eastAsia" w:ascii="仿宋_GB2312" w:hAnsi="仿宋_GB2312" w:eastAsia="仿宋_GB2312" w:cs="仿宋_GB2312"/>
                <w:sz w:val="24"/>
              </w:rPr>
            </w:pPr>
          </w:p>
        </w:tc>
        <w:tc>
          <w:tcPr>
            <w:tcW w:w="1080" w:type="dxa"/>
            <w:tcBorders>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2435" w:type="dxa"/>
            <w:gridSpan w:val="4"/>
            <w:tcBorders>
              <w:lef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3644" w:type="dxa"/>
            <w:gridSpan w:val="7"/>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941" w:type="dxa"/>
            <w:gridSpan w:val="2"/>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3"/>
            <w:noWrap w:val="0"/>
            <w:vAlign w:val="center"/>
          </w:tcPr>
          <w:p>
            <w:pPr>
              <w:spacing w:line="320" w:lineRule="exact"/>
              <w:jc w:val="left"/>
              <w:rPr>
                <w:rFonts w:hint="eastAsia" w:ascii="仿宋_GB2312" w:hAnsi="仿宋_GB2312" w:eastAsia="仿宋_GB2312" w:cs="仿宋_GB2312"/>
                <w:sz w:val="24"/>
              </w:rPr>
            </w:pPr>
          </w:p>
        </w:tc>
        <w:tc>
          <w:tcPr>
            <w:tcW w:w="1080" w:type="dxa"/>
            <w:tcBorders>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2435" w:type="dxa"/>
            <w:gridSpan w:val="4"/>
            <w:tcBorders>
              <w:lef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3644" w:type="dxa"/>
            <w:gridSpan w:val="7"/>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941" w:type="dxa"/>
            <w:gridSpan w:val="2"/>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3"/>
            <w:noWrap w:val="0"/>
            <w:vAlign w:val="center"/>
          </w:tcPr>
          <w:p>
            <w:pPr>
              <w:spacing w:line="320" w:lineRule="exact"/>
              <w:jc w:val="left"/>
              <w:rPr>
                <w:rFonts w:hint="eastAsia" w:ascii="仿宋_GB2312" w:hAnsi="仿宋_GB2312" w:eastAsia="仿宋_GB2312" w:cs="仿宋_GB2312"/>
                <w:sz w:val="24"/>
              </w:rPr>
            </w:pPr>
          </w:p>
        </w:tc>
        <w:tc>
          <w:tcPr>
            <w:tcW w:w="1080" w:type="dxa"/>
            <w:tcBorders>
              <w:righ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2435" w:type="dxa"/>
            <w:gridSpan w:val="4"/>
            <w:tcBorders>
              <w:left w:val="single" w:color="auto" w:sz="4" w:space="0"/>
            </w:tcBorders>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3644" w:type="dxa"/>
            <w:gridSpan w:val="7"/>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941" w:type="dxa"/>
            <w:gridSpan w:val="2"/>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9800" w:type="dxa"/>
            <w:gridSpan w:val="17"/>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黑体" w:hAnsi="黑体" w:eastAsia="黑体" w:cs="黑体"/>
                <w:color w:val="000000"/>
                <w:sz w:val="28"/>
                <w:szCs w:val="28"/>
              </w:rPr>
              <w:t>三、部门（单位）整体支出绩效自评情况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1441" w:type="dxa"/>
            <w:vMerge w:val="restart"/>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整体支出绩效定性目标及实施计划完成情况</w:t>
            </w:r>
          </w:p>
        </w:tc>
        <w:tc>
          <w:tcPr>
            <w:tcW w:w="3774" w:type="dxa"/>
            <w:gridSpan w:val="7"/>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预期目标</w:t>
            </w:r>
          </w:p>
        </w:tc>
        <w:tc>
          <w:tcPr>
            <w:tcW w:w="4585" w:type="dxa"/>
            <w:gridSpan w:val="9"/>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实际完成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1172" w:hRule="atLeast"/>
          <w:jc w:val="center"/>
        </w:trPr>
        <w:tc>
          <w:tcPr>
            <w:tcW w:w="1441" w:type="dxa"/>
            <w:vMerge w:val="continue"/>
            <w:noWrap w:val="0"/>
            <w:vAlign w:val="center"/>
          </w:tcPr>
          <w:p>
            <w:pPr>
              <w:spacing w:line="320" w:lineRule="exact"/>
              <w:rPr>
                <w:rFonts w:hint="eastAsia" w:ascii="仿宋_GB2312" w:hAnsi="仿宋_GB2312" w:eastAsia="仿宋_GB2312" w:cs="仿宋_GB2312"/>
                <w:sz w:val="24"/>
              </w:rPr>
            </w:pPr>
          </w:p>
        </w:tc>
        <w:tc>
          <w:tcPr>
            <w:tcW w:w="3774" w:type="dxa"/>
            <w:gridSpan w:val="7"/>
            <w:noWrap w:val="0"/>
            <w:vAlign w:val="center"/>
          </w:tcPr>
          <w:p>
            <w:pPr>
              <w:autoSpaceDN w:val="0"/>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目标1：</w:t>
            </w:r>
            <w:r>
              <w:rPr>
                <w:rFonts w:hint="eastAsia" w:ascii="仿宋_GB2312" w:hAnsi="仿宋_GB2312" w:eastAsia="仿宋_GB2312" w:cs="仿宋_GB2312"/>
                <w:color w:val="000000"/>
                <w:spacing w:val="-6"/>
                <w:sz w:val="24"/>
              </w:rPr>
              <w:t>门急诊</w:t>
            </w:r>
            <w:r>
              <w:rPr>
                <w:rFonts w:hint="eastAsia" w:ascii="仿宋_GB2312" w:hAnsi="仿宋_GB2312" w:eastAsia="仿宋_GB2312" w:cs="仿宋_GB2312"/>
                <w:color w:val="000000"/>
                <w:spacing w:val="-6"/>
                <w:sz w:val="24"/>
                <w:lang w:val="en-US" w:eastAsia="zh-CN"/>
              </w:rPr>
              <w:t>人次达到30万</w:t>
            </w:r>
            <w:r>
              <w:rPr>
                <w:rFonts w:hint="eastAsia" w:ascii="仿宋_GB2312" w:hAnsi="仿宋_GB2312" w:eastAsia="仿宋_GB2312" w:cs="仿宋_GB2312"/>
                <w:color w:val="000000"/>
                <w:spacing w:val="-6"/>
                <w:sz w:val="24"/>
              </w:rPr>
              <w:t>人次</w:t>
            </w:r>
          </w:p>
          <w:p>
            <w:pPr>
              <w:autoSpaceDN w:val="0"/>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目标2：</w:t>
            </w:r>
            <w:r>
              <w:rPr>
                <w:rFonts w:hint="eastAsia" w:ascii="仿宋_GB2312" w:hAnsi="仿宋_GB2312" w:eastAsia="仿宋_GB2312" w:cs="仿宋_GB2312"/>
                <w:color w:val="000000"/>
                <w:spacing w:val="-6"/>
                <w:sz w:val="24"/>
              </w:rPr>
              <w:t>收治住院</w:t>
            </w:r>
            <w:r>
              <w:rPr>
                <w:rFonts w:hint="eastAsia" w:ascii="仿宋_GB2312" w:hAnsi="仿宋_GB2312" w:eastAsia="仿宋_GB2312" w:cs="仿宋_GB2312"/>
                <w:color w:val="000000"/>
                <w:spacing w:val="-6"/>
                <w:sz w:val="24"/>
                <w:lang w:val="en-US" w:eastAsia="zh-CN"/>
              </w:rPr>
              <w:t>人次2.3万</w:t>
            </w:r>
            <w:r>
              <w:rPr>
                <w:rFonts w:hint="eastAsia" w:ascii="仿宋_GB2312" w:hAnsi="仿宋_GB2312" w:eastAsia="仿宋_GB2312" w:cs="仿宋_GB2312"/>
                <w:color w:val="000000"/>
                <w:spacing w:val="-6"/>
                <w:sz w:val="24"/>
              </w:rPr>
              <w:t>人次</w:t>
            </w:r>
          </w:p>
          <w:p>
            <w:pPr>
              <w:autoSpaceDN w:val="0"/>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目标3：</w:t>
            </w:r>
            <w:r>
              <w:rPr>
                <w:rFonts w:hint="eastAsia" w:ascii="仿宋_GB2312" w:hAnsi="仿宋_GB2312" w:eastAsia="仿宋_GB2312" w:cs="仿宋_GB2312"/>
                <w:color w:val="000000"/>
                <w:spacing w:val="-6"/>
                <w:sz w:val="24"/>
              </w:rPr>
              <w:t>完成手术</w:t>
            </w:r>
            <w:r>
              <w:rPr>
                <w:rFonts w:hint="eastAsia" w:ascii="仿宋_GB2312" w:hAnsi="仿宋_GB2312" w:eastAsia="仿宋_GB2312" w:cs="仿宋_GB2312"/>
                <w:color w:val="000000"/>
                <w:spacing w:val="-6"/>
                <w:sz w:val="24"/>
                <w:lang w:val="en-US" w:eastAsia="zh-CN"/>
              </w:rPr>
              <w:t>台次7000</w:t>
            </w:r>
            <w:r>
              <w:rPr>
                <w:rFonts w:hint="eastAsia" w:ascii="仿宋_GB2312" w:hAnsi="仿宋_GB2312" w:eastAsia="仿宋_GB2312" w:cs="仿宋_GB2312"/>
                <w:color w:val="000000"/>
                <w:spacing w:val="-6"/>
                <w:sz w:val="24"/>
              </w:rPr>
              <w:t>台</w:t>
            </w:r>
          </w:p>
        </w:tc>
        <w:tc>
          <w:tcPr>
            <w:tcW w:w="4585" w:type="dxa"/>
            <w:gridSpan w:val="9"/>
            <w:noWrap w:val="0"/>
            <w:vAlign w:val="center"/>
          </w:tcPr>
          <w:p>
            <w:pPr>
              <w:autoSpaceDN w:val="0"/>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202</w:t>
            </w:r>
            <w:r>
              <w:rPr>
                <w:rFonts w:hint="eastAsia" w:ascii="仿宋_GB2312" w:hAnsi="仿宋_GB2312" w:eastAsia="仿宋_GB2312" w:cs="仿宋_GB2312"/>
                <w:color w:val="000000"/>
                <w:sz w:val="24"/>
                <w:lang w:val="en-US" w:eastAsia="zh-CN"/>
              </w:rPr>
              <w:t>2</w:t>
            </w:r>
            <w:r>
              <w:rPr>
                <w:rFonts w:hint="eastAsia" w:ascii="仿宋_GB2312" w:hAnsi="仿宋_GB2312" w:eastAsia="仿宋_GB2312" w:cs="仿宋_GB2312"/>
                <w:color w:val="000000"/>
                <w:sz w:val="24"/>
              </w:rPr>
              <w:t>年</w:t>
            </w:r>
            <w:r>
              <w:rPr>
                <w:rFonts w:hint="eastAsia" w:ascii="仿宋_GB2312" w:hAnsi="仿宋_GB2312" w:eastAsia="仿宋_GB2312" w:cs="仿宋_GB2312"/>
                <w:color w:val="000000"/>
                <w:sz w:val="24"/>
                <w:lang w:eastAsia="zh-CN"/>
              </w:rPr>
              <w:t>，</w:t>
            </w:r>
            <w:r>
              <w:rPr>
                <w:rFonts w:hint="eastAsia" w:ascii="仿宋_GB2312" w:hAnsi="仿宋_GB2312" w:eastAsia="仿宋_GB2312" w:cs="仿宋_GB2312"/>
                <w:color w:val="000000"/>
                <w:sz w:val="24"/>
                <w:lang w:val="en-US" w:eastAsia="zh-CN"/>
              </w:rPr>
              <w:t>累计</w:t>
            </w:r>
            <w:r>
              <w:rPr>
                <w:rFonts w:hint="eastAsia" w:ascii="仿宋_GB2312" w:hAnsi="仿宋_GB2312" w:eastAsia="仿宋_GB2312" w:cs="仿宋_GB2312"/>
                <w:color w:val="000000"/>
                <w:sz w:val="24"/>
              </w:rPr>
              <w:t>完成门急诊</w:t>
            </w:r>
            <w:r>
              <w:rPr>
                <w:rFonts w:hint="eastAsia" w:ascii="仿宋_GB2312" w:hAnsi="仿宋_GB2312" w:eastAsia="仿宋_GB2312" w:cs="仿宋_GB2312"/>
                <w:color w:val="000000"/>
                <w:sz w:val="24"/>
                <w:lang w:val="en-US" w:eastAsia="zh-CN"/>
              </w:rPr>
              <w:t>31.2万</w:t>
            </w:r>
            <w:r>
              <w:rPr>
                <w:rFonts w:hint="eastAsia" w:ascii="仿宋_GB2312" w:hAnsi="仿宋_GB2312" w:eastAsia="仿宋_GB2312" w:cs="仿宋_GB2312"/>
                <w:color w:val="000000"/>
                <w:sz w:val="24"/>
              </w:rPr>
              <w:t>人次，收治住院</w:t>
            </w:r>
            <w:r>
              <w:rPr>
                <w:rFonts w:hint="eastAsia" w:ascii="仿宋_GB2312" w:hAnsi="仿宋_GB2312" w:eastAsia="仿宋_GB2312" w:cs="仿宋_GB2312"/>
                <w:color w:val="000000"/>
                <w:sz w:val="24"/>
                <w:lang w:val="en-US" w:eastAsia="zh-CN"/>
              </w:rPr>
              <w:t>2.5万</w:t>
            </w:r>
            <w:r>
              <w:rPr>
                <w:rFonts w:hint="eastAsia" w:ascii="仿宋_GB2312" w:hAnsi="仿宋_GB2312" w:eastAsia="仿宋_GB2312" w:cs="仿宋_GB2312"/>
                <w:color w:val="000000"/>
                <w:sz w:val="24"/>
              </w:rPr>
              <w:t>人次，完成手术</w:t>
            </w:r>
            <w:r>
              <w:rPr>
                <w:rFonts w:hint="eastAsia" w:ascii="仿宋_GB2312" w:hAnsi="仿宋_GB2312" w:eastAsia="仿宋_GB2312" w:cs="仿宋_GB2312"/>
                <w:color w:val="000000"/>
                <w:sz w:val="24"/>
                <w:lang w:val="en-US" w:eastAsia="zh-CN"/>
              </w:rPr>
              <w:t>7600</w:t>
            </w:r>
            <w:r>
              <w:rPr>
                <w:rFonts w:hint="eastAsia" w:ascii="仿宋_GB2312" w:hAnsi="仿宋_GB2312" w:eastAsia="仿宋_GB2312" w:cs="仿宋_GB2312"/>
                <w:color w:val="000000"/>
                <w:sz w:val="24"/>
              </w:rPr>
              <w:t>台次，</w:t>
            </w:r>
            <w:r>
              <w:rPr>
                <w:rFonts w:hint="eastAsia" w:ascii="仿宋_GB2312" w:hAnsi="仿宋_GB2312" w:eastAsia="仿宋_GB2312" w:cs="仿宋_GB2312"/>
                <w:color w:val="000000"/>
                <w:sz w:val="24"/>
                <w:lang w:val="en-US" w:eastAsia="zh-CN"/>
              </w:rPr>
              <w:t>同比分别增长52.1%、10.6%、37.6%，</w:t>
            </w:r>
            <w:r>
              <w:rPr>
                <w:rFonts w:hint="eastAsia" w:ascii="仿宋_GB2312" w:hAnsi="仿宋_GB2312" w:eastAsia="仿宋_GB2312" w:cs="仿宋_GB2312"/>
                <w:color w:val="000000"/>
                <w:sz w:val="24"/>
              </w:rPr>
              <w:t>完成检查</w:t>
            </w:r>
            <w:r>
              <w:rPr>
                <w:rFonts w:hint="eastAsia" w:ascii="仿宋_GB2312" w:hAnsi="仿宋_GB2312" w:eastAsia="仿宋_GB2312" w:cs="仿宋_GB2312"/>
                <w:color w:val="000000"/>
                <w:sz w:val="24"/>
                <w:lang w:val="en-US" w:eastAsia="zh-CN"/>
              </w:rPr>
              <w:t>35万</w:t>
            </w:r>
            <w:r>
              <w:rPr>
                <w:rFonts w:hint="eastAsia" w:ascii="仿宋_GB2312" w:hAnsi="仿宋_GB2312" w:eastAsia="仿宋_GB2312" w:cs="仿宋_GB2312"/>
                <w:color w:val="000000"/>
                <w:sz w:val="24"/>
              </w:rPr>
              <w:t>人次，完成健康体检</w:t>
            </w:r>
            <w:r>
              <w:rPr>
                <w:rFonts w:hint="eastAsia" w:ascii="仿宋_GB2312" w:hAnsi="仿宋_GB2312" w:eastAsia="仿宋_GB2312" w:cs="仿宋_GB2312"/>
                <w:color w:val="000000"/>
                <w:sz w:val="24"/>
                <w:lang w:val="en-US" w:eastAsia="zh-CN"/>
              </w:rPr>
              <w:t>8900</w:t>
            </w:r>
            <w:r>
              <w:rPr>
                <w:rFonts w:hint="eastAsia" w:ascii="仿宋_GB2312" w:hAnsi="仿宋_GB2312" w:eastAsia="仿宋_GB2312" w:cs="仿宋_GB2312"/>
                <w:color w:val="000000"/>
                <w:sz w:val="24"/>
              </w:rPr>
              <w:t>人次，</w:t>
            </w:r>
            <w:r>
              <w:rPr>
                <w:rFonts w:hint="eastAsia" w:ascii="仿宋_GB2312" w:hAnsi="仿宋_GB2312" w:eastAsia="仿宋_GB2312" w:cs="仿宋_GB2312"/>
                <w:color w:val="000000"/>
                <w:sz w:val="24"/>
                <w:lang w:val="en-US" w:eastAsia="zh-CN"/>
              </w:rPr>
              <w:t>完成</w:t>
            </w:r>
            <w:r>
              <w:rPr>
                <w:rFonts w:hint="eastAsia" w:ascii="仿宋_GB2312" w:hAnsi="仿宋_GB2312" w:eastAsia="仿宋_GB2312" w:cs="仿宋_GB2312"/>
                <w:color w:val="000000"/>
                <w:sz w:val="24"/>
              </w:rPr>
              <w:t>总收入</w:t>
            </w:r>
            <w:r>
              <w:rPr>
                <w:rFonts w:hint="eastAsia" w:ascii="仿宋_GB2312" w:hAnsi="仿宋_GB2312" w:eastAsia="仿宋_GB2312" w:cs="仿宋_GB2312"/>
                <w:color w:val="000000"/>
                <w:sz w:val="24"/>
                <w:lang w:val="en-US" w:eastAsia="zh-CN"/>
              </w:rPr>
              <w:t>1.94亿元</w:t>
            </w:r>
            <w:r>
              <w:rPr>
                <w:rFonts w:hint="eastAsia" w:ascii="仿宋_GB2312" w:hAnsi="仿宋_GB2312" w:eastAsia="仿宋_GB2312" w:cs="仿宋_GB2312"/>
                <w:color w:val="000000"/>
                <w:sz w:val="24"/>
              </w:rPr>
              <w:t>，其中业务收入</w:t>
            </w:r>
            <w:r>
              <w:rPr>
                <w:rFonts w:hint="eastAsia" w:ascii="仿宋_GB2312" w:hAnsi="仿宋_GB2312" w:eastAsia="仿宋_GB2312" w:cs="仿宋_GB2312"/>
                <w:color w:val="000000"/>
                <w:sz w:val="24"/>
                <w:lang w:val="en-US" w:eastAsia="zh-CN"/>
              </w:rPr>
              <w:t>1.77亿</w:t>
            </w:r>
            <w:r>
              <w:rPr>
                <w:rFonts w:hint="eastAsia" w:ascii="仿宋_GB2312" w:hAnsi="仿宋_GB2312" w:eastAsia="仿宋_GB2312" w:cs="仿宋_GB2312"/>
                <w:color w:val="000000"/>
                <w:sz w:val="24"/>
              </w:rPr>
              <w:t>元</w:t>
            </w:r>
            <w:r>
              <w:rPr>
                <w:rFonts w:hint="eastAsia" w:ascii="仿宋_GB2312" w:hAnsi="仿宋_GB2312" w:eastAsia="仿宋_GB2312" w:cs="仿宋_GB2312"/>
                <w:color w:val="000000"/>
                <w:sz w:val="24"/>
                <w:lang w:eastAsia="zh-CN"/>
              </w:rPr>
              <w:t>，</w:t>
            </w:r>
            <w:r>
              <w:rPr>
                <w:rFonts w:hint="eastAsia" w:ascii="仿宋_GB2312" w:hAnsi="仿宋_GB2312" w:eastAsia="仿宋_GB2312" w:cs="仿宋_GB2312"/>
                <w:color w:val="000000"/>
                <w:sz w:val="24"/>
                <w:lang w:val="en-US" w:eastAsia="zh-CN"/>
              </w:rPr>
              <w:t>同比增长316万元，基本完成年初目标任务</w:t>
            </w:r>
            <w:r>
              <w:rPr>
                <w:rFonts w:hint="eastAsia" w:ascii="仿宋_GB2312" w:hAnsi="仿宋_GB2312" w:eastAsia="仿宋_GB2312" w:cs="仿宋_GB2312"/>
                <w:color w:val="000000"/>
                <w:sz w:val="24"/>
              </w:rPr>
              <w:t>。</w:t>
            </w:r>
          </w:p>
          <w:p>
            <w:pPr>
              <w:autoSpaceDN w:val="0"/>
              <w:spacing w:line="320" w:lineRule="exact"/>
              <w:jc w:val="center"/>
              <w:textAlignment w:val="center"/>
              <w:rPr>
                <w:rFonts w:hint="eastAsia"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1441" w:type="dxa"/>
            <w:vMerge w:val="restart"/>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整体支出</w:t>
            </w:r>
          </w:p>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绩效定量目标及实施计划完成情况</w:t>
            </w:r>
          </w:p>
        </w:tc>
        <w:tc>
          <w:tcPr>
            <w:tcW w:w="2966" w:type="dxa"/>
            <w:gridSpan w:val="6"/>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评价内容</w:t>
            </w:r>
          </w:p>
        </w:tc>
        <w:tc>
          <w:tcPr>
            <w:tcW w:w="2709" w:type="dxa"/>
            <w:gridSpan w:val="4"/>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绩效目标</w:t>
            </w:r>
          </w:p>
        </w:tc>
        <w:tc>
          <w:tcPr>
            <w:tcW w:w="2684" w:type="dxa"/>
            <w:gridSpan w:val="6"/>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完成情况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54" w:hRule="atLeast"/>
          <w:jc w:val="center"/>
        </w:trPr>
        <w:tc>
          <w:tcPr>
            <w:tcW w:w="1441" w:type="dxa"/>
            <w:vMerge w:val="continue"/>
            <w:noWrap w:val="0"/>
            <w:vAlign w:val="center"/>
          </w:tcPr>
          <w:p>
            <w:pPr>
              <w:spacing w:line="320" w:lineRule="exact"/>
              <w:rPr>
                <w:rFonts w:hint="eastAsia" w:ascii="仿宋_GB2312" w:hAnsi="仿宋_GB2312" w:eastAsia="仿宋_GB2312" w:cs="仿宋_GB2312"/>
                <w:sz w:val="24"/>
              </w:rPr>
            </w:pPr>
          </w:p>
        </w:tc>
        <w:tc>
          <w:tcPr>
            <w:tcW w:w="1549" w:type="dxa"/>
            <w:gridSpan w:val="4"/>
            <w:vMerge w:val="restart"/>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产出目标</w:t>
            </w:r>
          </w:p>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（部门工作实绩，包含上级部门和市委市政府布置的重点工作、实事任务等，根据部门实际进行调整细化）</w:t>
            </w:r>
          </w:p>
        </w:tc>
        <w:tc>
          <w:tcPr>
            <w:tcW w:w="1417" w:type="dxa"/>
            <w:gridSpan w:val="2"/>
            <w:vMerge w:val="restart"/>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质量指标</w:t>
            </w:r>
          </w:p>
        </w:tc>
        <w:tc>
          <w:tcPr>
            <w:tcW w:w="2709" w:type="dxa"/>
            <w:gridSpan w:val="4"/>
            <w:noWrap w:val="0"/>
            <w:vAlign w:val="center"/>
          </w:tcPr>
          <w:p>
            <w:pPr>
              <w:autoSpaceDN w:val="0"/>
              <w:spacing w:line="320" w:lineRule="exact"/>
              <w:jc w:val="left"/>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rPr>
              <w:t>指标1：</w:t>
            </w:r>
            <w:r>
              <w:rPr>
                <w:rFonts w:hint="eastAsia" w:ascii="仿宋_GB2312" w:hAnsi="仿宋_GB2312" w:eastAsia="仿宋_GB2312" w:cs="仿宋_GB2312"/>
                <w:color w:val="000000"/>
                <w:sz w:val="24"/>
                <w:lang w:val="en-US" w:eastAsia="zh-CN"/>
              </w:rPr>
              <w:t>病床使用率≥90%</w:t>
            </w:r>
          </w:p>
        </w:tc>
        <w:tc>
          <w:tcPr>
            <w:tcW w:w="2684" w:type="dxa"/>
            <w:gridSpan w:val="6"/>
            <w:noWrap w:val="0"/>
            <w:vAlign w:val="center"/>
          </w:tcPr>
          <w:p>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88.71%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54" w:hRule="atLeast"/>
          <w:jc w:val="center"/>
        </w:trPr>
        <w:tc>
          <w:tcPr>
            <w:tcW w:w="1441" w:type="dxa"/>
            <w:vMerge w:val="continue"/>
            <w:noWrap w:val="0"/>
            <w:vAlign w:val="center"/>
          </w:tcPr>
          <w:p>
            <w:pPr>
              <w:spacing w:line="320" w:lineRule="exact"/>
              <w:rPr>
                <w:rFonts w:hint="eastAsia" w:ascii="仿宋_GB2312" w:hAnsi="仿宋_GB2312" w:eastAsia="仿宋_GB2312" w:cs="仿宋_GB2312"/>
                <w:sz w:val="24"/>
              </w:rPr>
            </w:pPr>
          </w:p>
        </w:tc>
        <w:tc>
          <w:tcPr>
            <w:tcW w:w="1549" w:type="dxa"/>
            <w:gridSpan w:val="4"/>
            <w:vMerge w:val="continue"/>
            <w:noWrap w:val="0"/>
            <w:vAlign w:val="center"/>
          </w:tcPr>
          <w:p>
            <w:pPr>
              <w:autoSpaceDN w:val="0"/>
              <w:spacing w:line="320" w:lineRule="exact"/>
              <w:rPr>
                <w:rFonts w:hint="eastAsia" w:ascii="仿宋_GB2312" w:hAnsi="仿宋_GB2312" w:eastAsia="仿宋_GB2312" w:cs="仿宋_GB2312"/>
                <w:sz w:val="24"/>
              </w:rPr>
            </w:pPr>
          </w:p>
        </w:tc>
        <w:tc>
          <w:tcPr>
            <w:tcW w:w="1417" w:type="dxa"/>
            <w:gridSpan w:val="2"/>
            <w:vMerge w:val="continue"/>
            <w:noWrap w:val="0"/>
            <w:vAlign w:val="center"/>
          </w:tcPr>
          <w:p>
            <w:pPr>
              <w:spacing w:line="320" w:lineRule="exact"/>
              <w:rPr>
                <w:rFonts w:hint="eastAsia" w:ascii="仿宋_GB2312" w:hAnsi="仿宋_GB2312" w:eastAsia="仿宋_GB2312" w:cs="仿宋_GB2312"/>
                <w:sz w:val="24"/>
              </w:rPr>
            </w:pPr>
          </w:p>
        </w:tc>
        <w:tc>
          <w:tcPr>
            <w:tcW w:w="2709" w:type="dxa"/>
            <w:gridSpan w:val="4"/>
            <w:noWrap w:val="0"/>
            <w:vAlign w:val="center"/>
          </w:tcPr>
          <w:p>
            <w:pPr>
              <w:autoSpaceDN w:val="0"/>
              <w:spacing w:line="320" w:lineRule="exact"/>
              <w:jc w:val="left"/>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rPr>
              <w:t>指标2：</w:t>
            </w:r>
            <w:r>
              <w:rPr>
                <w:rFonts w:hint="eastAsia" w:ascii="仿宋_GB2312" w:hAnsi="仿宋_GB2312" w:eastAsia="仿宋_GB2312" w:cs="仿宋_GB2312"/>
                <w:color w:val="000000"/>
                <w:sz w:val="24"/>
                <w:lang w:val="en-US" w:eastAsia="zh-CN"/>
              </w:rPr>
              <w:t>政府采购执行率≥90%</w:t>
            </w:r>
          </w:p>
        </w:tc>
        <w:tc>
          <w:tcPr>
            <w:tcW w:w="2684" w:type="dxa"/>
            <w:gridSpan w:val="6"/>
            <w:noWrap w:val="0"/>
            <w:vAlign w:val="center"/>
          </w:tcPr>
          <w:p>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95%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54" w:hRule="atLeast"/>
          <w:jc w:val="center"/>
        </w:trPr>
        <w:tc>
          <w:tcPr>
            <w:tcW w:w="1441" w:type="dxa"/>
            <w:vMerge w:val="continue"/>
            <w:noWrap w:val="0"/>
            <w:vAlign w:val="center"/>
          </w:tcPr>
          <w:p>
            <w:pPr>
              <w:spacing w:line="320" w:lineRule="exact"/>
              <w:rPr>
                <w:rFonts w:hint="eastAsia" w:ascii="仿宋_GB2312" w:hAnsi="仿宋_GB2312" w:eastAsia="仿宋_GB2312" w:cs="仿宋_GB2312"/>
                <w:sz w:val="24"/>
              </w:rPr>
            </w:pPr>
          </w:p>
        </w:tc>
        <w:tc>
          <w:tcPr>
            <w:tcW w:w="1549" w:type="dxa"/>
            <w:gridSpan w:val="4"/>
            <w:vMerge w:val="continue"/>
            <w:noWrap w:val="0"/>
            <w:vAlign w:val="center"/>
          </w:tcPr>
          <w:p>
            <w:pPr>
              <w:autoSpaceDN w:val="0"/>
              <w:spacing w:line="320" w:lineRule="exact"/>
              <w:rPr>
                <w:rFonts w:hint="eastAsia" w:ascii="仿宋_GB2312" w:hAnsi="仿宋_GB2312" w:eastAsia="仿宋_GB2312" w:cs="仿宋_GB2312"/>
                <w:sz w:val="24"/>
              </w:rPr>
            </w:pPr>
          </w:p>
        </w:tc>
        <w:tc>
          <w:tcPr>
            <w:tcW w:w="1417" w:type="dxa"/>
            <w:gridSpan w:val="2"/>
            <w:vMerge w:val="continue"/>
            <w:noWrap w:val="0"/>
            <w:vAlign w:val="center"/>
          </w:tcPr>
          <w:p>
            <w:pPr>
              <w:spacing w:line="320" w:lineRule="exact"/>
              <w:rPr>
                <w:rFonts w:hint="eastAsia" w:ascii="仿宋_GB2312" w:hAnsi="仿宋_GB2312" w:eastAsia="仿宋_GB2312" w:cs="仿宋_GB2312"/>
                <w:sz w:val="24"/>
              </w:rPr>
            </w:pPr>
          </w:p>
        </w:tc>
        <w:tc>
          <w:tcPr>
            <w:tcW w:w="2709" w:type="dxa"/>
            <w:gridSpan w:val="4"/>
            <w:noWrap w:val="0"/>
            <w:vAlign w:val="center"/>
          </w:tcPr>
          <w:p>
            <w:pPr>
              <w:autoSpaceDN w:val="0"/>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w:t>
            </w:r>
          </w:p>
        </w:tc>
        <w:tc>
          <w:tcPr>
            <w:tcW w:w="2684" w:type="dxa"/>
            <w:gridSpan w:val="6"/>
            <w:noWrap w:val="0"/>
            <w:vAlign w:val="center"/>
          </w:tcPr>
          <w:p>
            <w:pPr>
              <w:autoSpaceDN w:val="0"/>
              <w:spacing w:line="320" w:lineRule="exact"/>
              <w:jc w:val="center"/>
              <w:textAlignment w:val="center"/>
              <w:rPr>
                <w:rFonts w:hint="eastAsia" w:ascii="仿宋_GB2312" w:hAnsi="仿宋_GB2312" w:eastAsia="仿宋_GB2312" w:cs="仿宋_GB2312"/>
                <w:b/>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54" w:hRule="atLeast"/>
          <w:jc w:val="center"/>
        </w:trPr>
        <w:tc>
          <w:tcPr>
            <w:tcW w:w="1441" w:type="dxa"/>
            <w:vMerge w:val="continue"/>
            <w:noWrap w:val="0"/>
            <w:vAlign w:val="center"/>
          </w:tcPr>
          <w:p>
            <w:pPr>
              <w:spacing w:line="320" w:lineRule="exact"/>
              <w:rPr>
                <w:rFonts w:hint="eastAsia" w:ascii="仿宋_GB2312" w:hAnsi="仿宋_GB2312" w:eastAsia="仿宋_GB2312" w:cs="仿宋_GB2312"/>
                <w:sz w:val="24"/>
              </w:rPr>
            </w:pPr>
          </w:p>
        </w:tc>
        <w:tc>
          <w:tcPr>
            <w:tcW w:w="1549" w:type="dxa"/>
            <w:gridSpan w:val="4"/>
            <w:vMerge w:val="continue"/>
            <w:noWrap w:val="0"/>
            <w:vAlign w:val="center"/>
          </w:tcPr>
          <w:p>
            <w:pPr>
              <w:autoSpaceDN w:val="0"/>
              <w:spacing w:line="320" w:lineRule="exact"/>
              <w:rPr>
                <w:rFonts w:hint="eastAsia" w:ascii="仿宋_GB2312" w:hAnsi="仿宋_GB2312" w:eastAsia="仿宋_GB2312" w:cs="仿宋_GB2312"/>
                <w:sz w:val="24"/>
              </w:rPr>
            </w:pPr>
          </w:p>
        </w:tc>
        <w:tc>
          <w:tcPr>
            <w:tcW w:w="1417" w:type="dxa"/>
            <w:gridSpan w:val="2"/>
            <w:vMerge w:val="restart"/>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数量指标</w:t>
            </w:r>
          </w:p>
        </w:tc>
        <w:tc>
          <w:tcPr>
            <w:tcW w:w="2709" w:type="dxa"/>
            <w:gridSpan w:val="4"/>
            <w:noWrap w:val="0"/>
            <w:vAlign w:val="center"/>
          </w:tcPr>
          <w:p>
            <w:pPr>
              <w:autoSpaceDN w:val="0"/>
              <w:spacing w:line="320" w:lineRule="exact"/>
              <w:jc w:val="left"/>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rPr>
              <w:t>指标1：</w:t>
            </w:r>
            <w:r>
              <w:rPr>
                <w:rFonts w:hint="eastAsia" w:ascii="仿宋_GB2312" w:hAnsi="仿宋_GB2312" w:eastAsia="仿宋_GB2312" w:cs="仿宋_GB2312"/>
                <w:color w:val="000000"/>
                <w:sz w:val="24"/>
                <w:lang w:val="en-US" w:eastAsia="zh-CN"/>
              </w:rPr>
              <w:t>出院者平均住院天数≤9天</w:t>
            </w:r>
          </w:p>
        </w:tc>
        <w:tc>
          <w:tcPr>
            <w:tcW w:w="2684" w:type="dxa"/>
            <w:gridSpan w:val="6"/>
            <w:noWrap w:val="0"/>
            <w:vAlign w:val="center"/>
          </w:tcPr>
          <w:p>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7.68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61" w:hRule="atLeast"/>
          <w:jc w:val="center"/>
        </w:trPr>
        <w:tc>
          <w:tcPr>
            <w:tcW w:w="1441" w:type="dxa"/>
            <w:vMerge w:val="continue"/>
            <w:noWrap w:val="0"/>
            <w:vAlign w:val="center"/>
          </w:tcPr>
          <w:p>
            <w:pPr>
              <w:spacing w:line="320" w:lineRule="exact"/>
              <w:rPr>
                <w:rFonts w:hint="eastAsia" w:ascii="仿宋_GB2312" w:hAnsi="仿宋_GB2312" w:eastAsia="仿宋_GB2312" w:cs="仿宋_GB2312"/>
                <w:sz w:val="24"/>
              </w:rPr>
            </w:pPr>
          </w:p>
        </w:tc>
        <w:tc>
          <w:tcPr>
            <w:tcW w:w="1549" w:type="dxa"/>
            <w:gridSpan w:val="4"/>
            <w:vMerge w:val="continue"/>
            <w:noWrap w:val="0"/>
            <w:vAlign w:val="center"/>
          </w:tcPr>
          <w:p>
            <w:pPr>
              <w:autoSpaceDN w:val="0"/>
              <w:spacing w:line="320" w:lineRule="exact"/>
              <w:rPr>
                <w:rFonts w:hint="eastAsia" w:ascii="仿宋_GB2312" w:hAnsi="仿宋_GB2312" w:eastAsia="仿宋_GB2312" w:cs="仿宋_GB2312"/>
                <w:sz w:val="24"/>
              </w:rPr>
            </w:pPr>
          </w:p>
        </w:tc>
        <w:tc>
          <w:tcPr>
            <w:tcW w:w="1417" w:type="dxa"/>
            <w:gridSpan w:val="2"/>
            <w:vMerge w:val="continue"/>
            <w:noWrap w:val="0"/>
            <w:vAlign w:val="center"/>
          </w:tcPr>
          <w:p>
            <w:pPr>
              <w:autoSpaceDN w:val="0"/>
              <w:spacing w:line="320" w:lineRule="exact"/>
              <w:jc w:val="center"/>
              <w:textAlignment w:val="center"/>
              <w:rPr>
                <w:rFonts w:hint="eastAsia" w:ascii="仿宋_GB2312" w:hAnsi="仿宋_GB2312" w:eastAsia="仿宋_GB2312" w:cs="仿宋_GB2312"/>
                <w:sz w:val="24"/>
              </w:rPr>
            </w:pPr>
          </w:p>
        </w:tc>
        <w:tc>
          <w:tcPr>
            <w:tcW w:w="2709" w:type="dxa"/>
            <w:gridSpan w:val="4"/>
            <w:noWrap w:val="0"/>
            <w:vAlign w:val="center"/>
          </w:tcPr>
          <w:p>
            <w:pPr>
              <w:autoSpaceDN w:val="0"/>
              <w:spacing w:line="320" w:lineRule="exact"/>
              <w:jc w:val="left"/>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rPr>
              <w:t>指标2：</w:t>
            </w:r>
            <w:r>
              <w:rPr>
                <w:rFonts w:hint="eastAsia" w:ascii="仿宋" w:hAnsi="仿宋" w:eastAsia="仿宋" w:cs="仿宋"/>
                <w:color w:val="000000"/>
                <w:sz w:val="24"/>
                <w:szCs w:val="24"/>
              </w:rPr>
              <w:t>每位职工年门诊人次</w:t>
            </w:r>
            <w:r>
              <w:rPr>
                <w:rFonts w:hint="eastAsia" w:ascii="仿宋_GB2312" w:hAnsi="仿宋_GB2312" w:eastAsia="仿宋_GB2312" w:cs="仿宋_GB2312"/>
                <w:color w:val="000000"/>
                <w:sz w:val="24"/>
                <w:lang w:val="en-US" w:eastAsia="zh-CN"/>
              </w:rPr>
              <w:t>≥400人次</w:t>
            </w:r>
          </w:p>
        </w:tc>
        <w:tc>
          <w:tcPr>
            <w:tcW w:w="2684" w:type="dxa"/>
            <w:gridSpan w:val="6"/>
            <w:noWrap w:val="0"/>
            <w:vAlign w:val="center"/>
          </w:tcPr>
          <w:p>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485.15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61" w:hRule="atLeast"/>
          <w:jc w:val="center"/>
        </w:trPr>
        <w:tc>
          <w:tcPr>
            <w:tcW w:w="1441" w:type="dxa"/>
            <w:vMerge w:val="continue"/>
            <w:noWrap w:val="0"/>
            <w:vAlign w:val="center"/>
          </w:tcPr>
          <w:p>
            <w:pPr>
              <w:spacing w:line="320" w:lineRule="exact"/>
              <w:rPr>
                <w:rFonts w:hint="eastAsia" w:ascii="仿宋_GB2312" w:hAnsi="仿宋_GB2312" w:eastAsia="仿宋_GB2312" w:cs="仿宋_GB2312"/>
                <w:sz w:val="24"/>
              </w:rPr>
            </w:pPr>
          </w:p>
        </w:tc>
        <w:tc>
          <w:tcPr>
            <w:tcW w:w="1549" w:type="dxa"/>
            <w:gridSpan w:val="4"/>
            <w:vMerge w:val="continue"/>
            <w:noWrap w:val="0"/>
            <w:vAlign w:val="center"/>
          </w:tcPr>
          <w:p>
            <w:pPr>
              <w:autoSpaceDN w:val="0"/>
              <w:spacing w:line="320" w:lineRule="exact"/>
              <w:rPr>
                <w:rFonts w:hint="eastAsia" w:ascii="仿宋_GB2312" w:hAnsi="仿宋_GB2312" w:eastAsia="仿宋_GB2312" w:cs="仿宋_GB2312"/>
                <w:sz w:val="24"/>
              </w:rPr>
            </w:pPr>
          </w:p>
        </w:tc>
        <w:tc>
          <w:tcPr>
            <w:tcW w:w="1417" w:type="dxa"/>
            <w:gridSpan w:val="2"/>
            <w:vMerge w:val="continue"/>
            <w:noWrap w:val="0"/>
            <w:vAlign w:val="center"/>
          </w:tcPr>
          <w:p>
            <w:pPr>
              <w:autoSpaceDN w:val="0"/>
              <w:spacing w:line="320" w:lineRule="exact"/>
              <w:jc w:val="center"/>
              <w:textAlignment w:val="center"/>
              <w:rPr>
                <w:rFonts w:hint="eastAsia" w:ascii="仿宋_GB2312" w:hAnsi="仿宋_GB2312" w:eastAsia="仿宋_GB2312" w:cs="仿宋_GB2312"/>
                <w:sz w:val="24"/>
              </w:rPr>
            </w:pPr>
          </w:p>
        </w:tc>
        <w:tc>
          <w:tcPr>
            <w:tcW w:w="2709" w:type="dxa"/>
            <w:gridSpan w:val="4"/>
            <w:noWrap w:val="0"/>
            <w:vAlign w:val="center"/>
          </w:tcPr>
          <w:p>
            <w:pPr>
              <w:autoSpaceDN w:val="0"/>
              <w:spacing w:line="320" w:lineRule="exact"/>
              <w:jc w:val="left"/>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指标3：住院人次≥2万人次</w:t>
            </w:r>
          </w:p>
        </w:tc>
        <w:tc>
          <w:tcPr>
            <w:tcW w:w="2684" w:type="dxa"/>
            <w:gridSpan w:val="6"/>
            <w:noWrap w:val="0"/>
            <w:vAlign w:val="center"/>
          </w:tcPr>
          <w:p>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2.3人次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54" w:hRule="atLeast"/>
          <w:jc w:val="center"/>
        </w:trPr>
        <w:tc>
          <w:tcPr>
            <w:tcW w:w="1441" w:type="dxa"/>
            <w:vMerge w:val="continue"/>
            <w:noWrap w:val="0"/>
            <w:vAlign w:val="center"/>
          </w:tcPr>
          <w:p>
            <w:pPr>
              <w:spacing w:line="320" w:lineRule="exact"/>
              <w:rPr>
                <w:rFonts w:hint="eastAsia" w:ascii="仿宋_GB2312" w:hAnsi="仿宋_GB2312" w:eastAsia="仿宋_GB2312" w:cs="仿宋_GB2312"/>
                <w:sz w:val="24"/>
              </w:rPr>
            </w:pPr>
          </w:p>
        </w:tc>
        <w:tc>
          <w:tcPr>
            <w:tcW w:w="1549" w:type="dxa"/>
            <w:gridSpan w:val="4"/>
            <w:vMerge w:val="continue"/>
            <w:noWrap w:val="0"/>
            <w:vAlign w:val="center"/>
          </w:tcPr>
          <w:p>
            <w:pPr>
              <w:autoSpaceDN w:val="0"/>
              <w:spacing w:line="320" w:lineRule="exact"/>
              <w:rPr>
                <w:rFonts w:hint="eastAsia" w:ascii="仿宋_GB2312" w:hAnsi="仿宋_GB2312" w:eastAsia="仿宋_GB2312" w:cs="仿宋_GB2312"/>
                <w:sz w:val="24"/>
              </w:rPr>
            </w:pPr>
          </w:p>
        </w:tc>
        <w:tc>
          <w:tcPr>
            <w:tcW w:w="1417" w:type="dxa"/>
            <w:gridSpan w:val="2"/>
            <w:vMerge w:val="restart"/>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时效指标</w:t>
            </w:r>
          </w:p>
        </w:tc>
        <w:tc>
          <w:tcPr>
            <w:tcW w:w="2709" w:type="dxa"/>
            <w:gridSpan w:val="4"/>
            <w:noWrap w:val="0"/>
            <w:vAlign w:val="center"/>
          </w:tcPr>
          <w:p>
            <w:pPr>
              <w:autoSpaceDN w:val="0"/>
              <w:spacing w:line="320" w:lineRule="exact"/>
              <w:jc w:val="left"/>
              <w:textAlignment w:val="center"/>
              <w:rPr>
                <w:rFonts w:hint="default" w:ascii="仿宋_GB2312" w:hAnsi="仿宋_GB2312" w:eastAsia="仿宋_GB2312" w:cs="仿宋_GB2312"/>
                <w:color w:val="000000"/>
                <w:sz w:val="24"/>
                <w:lang w:val="en-US"/>
              </w:rPr>
            </w:pPr>
            <w:r>
              <w:rPr>
                <w:rFonts w:hint="eastAsia" w:ascii="仿宋_GB2312" w:hAnsi="仿宋_GB2312" w:eastAsia="仿宋_GB2312" w:cs="仿宋_GB2312"/>
                <w:color w:val="000000"/>
                <w:sz w:val="24"/>
              </w:rPr>
              <w:t>指标1：</w:t>
            </w:r>
            <w:r>
              <w:rPr>
                <w:rFonts w:hint="eastAsia" w:ascii="仿宋" w:hAnsi="仿宋" w:eastAsia="仿宋" w:cs="仿宋"/>
                <w:color w:val="000000"/>
                <w:sz w:val="24"/>
                <w:szCs w:val="24"/>
              </w:rPr>
              <w:t>医疗机构服务窗口平均等候时间</w:t>
            </w:r>
            <w:r>
              <w:rPr>
                <w:rFonts w:hint="eastAsia" w:ascii="仿宋_GB2312" w:hAnsi="仿宋_GB2312" w:eastAsia="仿宋_GB2312" w:cs="仿宋_GB2312"/>
                <w:color w:val="000000"/>
                <w:sz w:val="24"/>
                <w:lang w:val="en-US" w:eastAsia="zh-CN"/>
              </w:rPr>
              <w:t>≤10分钟</w:t>
            </w:r>
          </w:p>
        </w:tc>
        <w:tc>
          <w:tcPr>
            <w:tcW w:w="2684" w:type="dxa"/>
            <w:gridSpan w:val="6"/>
            <w:noWrap w:val="0"/>
            <w:vAlign w:val="center"/>
          </w:tcPr>
          <w:p>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5分钟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54" w:hRule="atLeast"/>
          <w:jc w:val="center"/>
        </w:trPr>
        <w:tc>
          <w:tcPr>
            <w:tcW w:w="1441" w:type="dxa"/>
            <w:vMerge w:val="continue"/>
            <w:noWrap w:val="0"/>
            <w:vAlign w:val="center"/>
          </w:tcPr>
          <w:p>
            <w:pPr>
              <w:spacing w:line="320" w:lineRule="exact"/>
              <w:rPr>
                <w:rFonts w:hint="eastAsia" w:ascii="仿宋_GB2312" w:hAnsi="仿宋_GB2312" w:eastAsia="仿宋_GB2312" w:cs="仿宋_GB2312"/>
                <w:sz w:val="24"/>
              </w:rPr>
            </w:pPr>
          </w:p>
        </w:tc>
        <w:tc>
          <w:tcPr>
            <w:tcW w:w="1549" w:type="dxa"/>
            <w:gridSpan w:val="4"/>
            <w:vMerge w:val="continue"/>
            <w:noWrap w:val="0"/>
            <w:vAlign w:val="center"/>
          </w:tcPr>
          <w:p>
            <w:pPr>
              <w:autoSpaceDN w:val="0"/>
              <w:spacing w:line="320" w:lineRule="exact"/>
              <w:rPr>
                <w:rFonts w:hint="eastAsia" w:ascii="仿宋_GB2312" w:hAnsi="仿宋_GB2312" w:eastAsia="仿宋_GB2312" w:cs="仿宋_GB2312"/>
                <w:sz w:val="24"/>
              </w:rPr>
            </w:pPr>
          </w:p>
        </w:tc>
        <w:tc>
          <w:tcPr>
            <w:tcW w:w="1417" w:type="dxa"/>
            <w:gridSpan w:val="2"/>
            <w:vMerge w:val="continue"/>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2709" w:type="dxa"/>
            <w:gridSpan w:val="4"/>
            <w:noWrap w:val="0"/>
            <w:vAlign w:val="center"/>
          </w:tcPr>
          <w:p>
            <w:pPr>
              <w:autoSpaceDN w:val="0"/>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指标2：</w:t>
            </w:r>
          </w:p>
        </w:tc>
        <w:tc>
          <w:tcPr>
            <w:tcW w:w="2684" w:type="dxa"/>
            <w:gridSpan w:val="6"/>
            <w:noWrap w:val="0"/>
            <w:vAlign w:val="center"/>
          </w:tcPr>
          <w:p>
            <w:pPr>
              <w:autoSpaceDN w:val="0"/>
              <w:spacing w:line="320" w:lineRule="exact"/>
              <w:jc w:val="center"/>
              <w:textAlignment w:val="center"/>
              <w:rPr>
                <w:rFonts w:hint="eastAsia" w:ascii="仿宋_GB2312" w:hAnsi="仿宋_GB2312" w:eastAsia="仿宋_GB2312" w:cs="仿宋_GB2312"/>
                <w:color w:val="000000"/>
                <w:sz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54" w:hRule="atLeast"/>
          <w:jc w:val="center"/>
        </w:trPr>
        <w:tc>
          <w:tcPr>
            <w:tcW w:w="1441" w:type="dxa"/>
            <w:vMerge w:val="continue"/>
            <w:noWrap w:val="0"/>
            <w:vAlign w:val="center"/>
          </w:tcPr>
          <w:p>
            <w:pPr>
              <w:spacing w:line="320" w:lineRule="exact"/>
              <w:rPr>
                <w:rFonts w:hint="eastAsia" w:ascii="仿宋_GB2312" w:hAnsi="仿宋_GB2312" w:eastAsia="仿宋_GB2312" w:cs="仿宋_GB2312"/>
                <w:sz w:val="24"/>
              </w:rPr>
            </w:pPr>
          </w:p>
        </w:tc>
        <w:tc>
          <w:tcPr>
            <w:tcW w:w="1549" w:type="dxa"/>
            <w:gridSpan w:val="4"/>
            <w:vMerge w:val="continue"/>
            <w:noWrap w:val="0"/>
            <w:vAlign w:val="center"/>
          </w:tcPr>
          <w:p>
            <w:pPr>
              <w:autoSpaceDN w:val="0"/>
              <w:spacing w:line="320" w:lineRule="exact"/>
              <w:rPr>
                <w:rFonts w:hint="eastAsia" w:ascii="仿宋_GB2312" w:hAnsi="仿宋_GB2312" w:eastAsia="仿宋_GB2312" w:cs="仿宋_GB2312"/>
                <w:sz w:val="24"/>
              </w:rPr>
            </w:pPr>
          </w:p>
        </w:tc>
        <w:tc>
          <w:tcPr>
            <w:tcW w:w="1417" w:type="dxa"/>
            <w:gridSpan w:val="2"/>
            <w:vMerge w:val="continue"/>
            <w:noWrap w:val="0"/>
            <w:vAlign w:val="center"/>
          </w:tcPr>
          <w:p>
            <w:pPr>
              <w:autoSpaceDN w:val="0"/>
              <w:spacing w:line="320" w:lineRule="exact"/>
              <w:jc w:val="center"/>
              <w:textAlignment w:val="center"/>
              <w:rPr>
                <w:rFonts w:hint="eastAsia" w:ascii="仿宋_GB2312" w:hAnsi="仿宋_GB2312" w:eastAsia="仿宋_GB2312" w:cs="仿宋_GB2312"/>
                <w:sz w:val="24"/>
              </w:rPr>
            </w:pPr>
          </w:p>
        </w:tc>
        <w:tc>
          <w:tcPr>
            <w:tcW w:w="2709" w:type="dxa"/>
            <w:gridSpan w:val="4"/>
            <w:noWrap w:val="0"/>
            <w:vAlign w:val="center"/>
          </w:tcPr>
          <w:p>
            <w:pPr>
              <w:autoSpaceDN w:val="0"/>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w:t>
            </w:r>
          </w:p>
        </w:tc>
        <w:tc>
          <w:tcPr>
            <w:tcW w:w="2684" w:type="dxa"/>
            <w:gridSpan w:val="6"/>
            <w:noWrap w:val="0"/>
            <w:vAlign w:val="center"/>
          </w:tcPr>
          <w:p>
            <w:pPr>
              <w:autoSpaceDN w:val="0"/>
              <w:spacing w:line="320" w:lineRule="exact"/>
              <w:jc w:val="center"/>
              <w:textAlignment w:val="center"/>
              <w:rPr>
                <w:rFonts w:hint="eastAsia" w:ascii="仿宋_GB2312" w:hAnsi="仿宋_GB2312" w:eastAsia="仿宋_GB2312" w:cs="仿宋_GB2312"/>
                <w:b/>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54" w:hRule="atLeast"/>
          <w:jc w:val="center"/>
        </w:trPr>
        <w:tc>
          <w:tcPr>
            <w:tcW w:w="1441" w:type="dxa"/>
            <w:vMerge w:val="continue"/>
            <w:noWrap w:val="0"/>
            <w:vAlign w:val="center"/>
          </w:tcPr>
          <w:p>
            <w:pPr>
              <w:spacing w:line="320" w:lineRule="exact"/>
              <w:rPr>
                <w:rFonts w:hint="eastAsia" w:ascii="仿宋_GB2312" w:hAnsi="仿宋_GB2312" w:eastAsia="仿宋_GB2312" w:cs="仿宋_GB2312"/>
                <w:sz w:val="24"/>
              </w:rPr>
            </w:pPr>
          </w:p>
        </w:tc>
        <w:tc>
          <w:tcPr>
            <w:tcW w:w="1549" w:type="dxa"/>
            <w:gridSpan w:val="4"/>
            <w:vMerge w:val="continue"/>
            <w:noWrap w:val="0"/>
            <w:vAlign w:val="center"/>
          </w:tcPr>
          <w:p>
            <w:pPr>
              <w:autoSpaceDN w:val="0"/>
              <w:spacing w:line="320" w:lineRule="exact"/>
              <w:rPr>
                <w:rFonts w:hint="eastAsia" w:ascii="仿宋_GB2312" w:hAnsi="仿宋_GB2312" w:eastAsia="仿宋_GB2312" w:cs="仿宋_GB2312"/>
                <w:sz w:val="24"/>
              </w:rPr>
            </w:pPr>
          </w:p>
        </w:tc>
        <w:tc>
          <w:tcPr>
            <w:tcW w:w="1417" w:type="dxa"/>
            <w:gridSpan w:val="2"/>
            <w:vMerge w:val="restart"/>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成本指标</w:t>
            </w:r>
          </w:p>
        </w:tc>
        <w:tc>
          <w:tcPr>
            <w:tcW w:w="2709" w:type="dxa"/>
            <w:gridSpan w:val="4"/>
            <w:noWrap w:val="0"/>
            <w:vAlign w:val="center"/>
          </w:tcPr>
          <w:p>
            <w:pPr>
              <w:autoSpaceDN w:val="0"/>
              <w:spacing w:line="320" w:lineRule="exact"/>
              <w:jc w:val="left"/>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rPr>
              <w:t>指标1：</w:t>
            </w:r>
            <w:r>
              <w:rPr>
                <w:rFonts w:hint="eastAsia" w:ascii="仿宋_GB2312" w:hAnsi="仿宋_GB2312" w:eastAsia="仿宋_GB2312" w:cs="仿宋_GB2312"/>
                <w:color w:val="000000"/>
                <w:sz w:val="24"/>
                <w:lang w:val="en-US" w:eastAsia="zh-CN"/>
              </w:rPr>
              <w:t>预算控制数≤21000万元</w:t>
            </w:r>
          </w:p>
        </w:tc>
        <w:tc>
          <w:tcPr>
            <w:tcW w:w="2684" w:type="dxa"/>
            <w:gridSpan w:val="6"/>
            <w:noWrap w:val="0"/>
            <w:vAlign w:val="center"/>
          </w:tcPr>
          <w:p>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20935.55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54" w:hRule="atLeast"/>
          <w:jc w:val="center"/>
        </w:trPr>
        <w:tc>
          <w:tcPr>
            <w:tcW w:w="1441" w:type="dxa"/>
            <w:vMerge w:val="continue"/>
            <w:noWrap w:val="0"/>
            <w:vAlign w:val="center"/>
          </w:tcPr>
          <w:p>
            <w:pPr>
              <w:spacing w:line="320" w:lineRule="exact"/>
              <w:rPr>
                <w:rFonts w:hint="eastAsia" w:ascii="仿宋_GB2312" w:hAnsi="仿宋_GB2312" w:eastAsia="仿宋_GB2312" w:cs="仿宋_GB2312"/>
                <w:sz w:val="24"/>
              </w:rPr>
            </w:pPr>
          </w:p>
        </w:tc>
        <w:tc>
          <w:tcPr>
            <w:tcW w:w="1549" w:type="dxa"/>
            <w:gridSpan w:val="4"/>
            <w:vMerge w:val="continue"/>
            <w:noWrap w:val="0"/>
            <w:vAlign w:val="center"/>
          </w:tcPr>
          <w:p>
            <w:pPr>
              <w:autoSpaceDN w:val="0"/>
              <w:spacing w:line="320" w:lineRule="exact"/>
              <w:rPr>
                <w:rFonts w:hint="eastAsia" w:ascii="仿宋_GB2312" w:hAnsi="仿宋_GB2312" w:eastAsia="仿宋_GB2312" w:cs="仿宋_GB2312"/>
                <w:sz w:val="24"/>
              </w:rPr>
            </w:pPr>
          </w:p>
        </w:tc>
        <w:tc>
          <w:tcPr>
            <w:tcW w:w="1417" w:type="dxa"/>
            <w:gridSpan w:val="2"/>
            <w:vMerge w:val="continue"/>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2709" w:type="dxa"/>
            <w:gridSpan w:val="4"/>
            <w:noWrap w:val="0"/>
            <w:vAlign w:val="center"/>
          </w:tcPr>
          <w:p>
            <w:pPr>
              <w:autoSpaceDN w:val="0"/>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指标2：</w:t>
            </w:r>
          </w:p>
        </w:tc>
        <w:tc>
          <w:tcPr>
            <w:tcW w:w="2684" w:type="dxa"/>
            <w:gridSpan w:val="6"/>
            <w:noWrap w:val="0"/>
            <w:vAlign w:val="center"/>
          </w:tcPr>
          <w:p>
            <w:pPr>
              <w:autoSpaceDN w:val="0"/>
              <w:spacing w:line="320" w:lineRule="exact"/>
              <w:jc w:val="center"/>
              <w:textAlignment w:val="center"/>
              <w:rPr>
                <w:rFonts w:hint="eastAsia" w:ascii="仿宋_GB2312" w:hAnsi="仿宋_GB2312" w:eastAsia="仿宋_GB2312" w:cs="仿宋_GB2312"/>
                <w:color w:val="000000"/>
                <w:sz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54" w:hRule="atLeast"/>
          <w:jc w:val="center"/>
        </w:trPr>
        <w:tc>
          <w:tcPr>
            <w:tcW w:w="1441" w:type="dxa"/>
            <w:vMerge w:val="continue"/>
            <w:noWrap w:val="0"/>
            <w:vAlign w:val="center"/>
          </w:tcPr>
          <w:p>
            <w:pPr>
              <w:spacing w:line="320" w:lineRule="exact"/>
              <w:rPr>
                <w:rFonts w:hint="eastAsia" w:ascii="仿宋_GB2312" w:hAnsi="仿宋_GB2312" w:eastAsia="仿宋_GB2312" w:cs="仿宋_GB2312"/>
                <w:sz w:val="24"/>
              </w:rPr>
            </w:pPr>
          </w:p>
        </w:tc>
        <w:tc>
          <w:tcPr>
            <w:tcW w:w="1549" w:type="dxa"/>
            <w:gridSpan w:val="4"/>
            <w:vMerge w:val="continue"/>
            <w:noWrap w:val="0"/>
            <w:vAlign w:val="center"/>
          </w:tcPr>
          <w:p>
            <w:pPr>
              <w:autoSpaceDN w:val="0"/>
              <w:spacing w:line="320" w:lineRule="exact"/>
              <w:rPr>
                <w:rFonts w:hint="eastAsia" w:ascii="仿宋_GB2312" w:hAnsi="仿宋_GB2312" w:eastAsia="仿宋_GB2312" w:cs="仿宋_GB2312"/>
                <w:sz w:val="24"/>
              </w:rPr>
            </w:pPr>
          </w:p>
        </w:tc>
        <w:tc>
          <w:tcPr>
            <w:tcW w:w="1417" w:type="dxa"/>
            <w:gridSpan w:val="2"/>
            <w:vMerge w:val="continue"/>
            <w:noWrap w:val="0"/>
            <w:vAlign w:val="center"/>
          </w:tcPr>
          <w:p>
            <w:pPr>
              <w:autoSpaceDN w:val="0"/>
              <w:spacing w:line="320" w:lineRule="exact"/>
              <w:jc w:val="center"/>
              <w:textAlignment w:val="center"/>
              <w:rPr>
                <w:rFonts w:hint="eastAsia" w:ascii="仿宋_GB2312" w:hAnsi="仿宋_GB2312" w:eastAsia="仿宋_GB2312" w:cs="仿宋_GB2312"/>
                <w:sz w:val="24"/>
              </w:rPr>
            </w:pPr>
          </w:p>
        </w:tc>
        <w:tc>
          <w:tcPr>
            <w:tcW w:w="2709" w:type="dxa"/>
            <w:gridSpan w:val="4"/>
            <w:noWrap w:val="0"/>
            <w:vAlign w:val="center"/>
          </w:tcPr>
          <w:p>
            <w:pPr>
              <w:autoSpaceDN w:val="0"/>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w:t>
            </w:r>
          </w:p>
        </w:tc>
        <w:tc>
          <w:tcPr>
            <w:tcW w:w="2684" w:type="dxa"/>
            <w:gridSpan w:val="6"/>
            <w:noWrap w:val="0"/>
            <w:vAlign w:val="center"/>
          </w:tcPr>
          <w:p>
            <w:pPr>
              <w:autoSpaceDN w:val="0"/>
              <w:spacing w:line="320" w:lineRule="exact"/>
              <w:jc w:val="center"/>
              <w:textAlignment w:val="center"/>
              <w:rPr>
                <w:rFonts w:hint="eastAsia" w:ascii="仿宋_GB2312" w:hAnsi="仿宋_GB2312" w:eastAsia="仿宋_GB2312" w:cs="仿宋_GB2312"/>
                <w:b/>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54" w:hRule="atLeast"/>
          <w:jc w:val="center"/>
        </w:trPr>
        <w:tc>
          <w:tcPr>
            <w:tcW w:w="1441" w:type="dxa"/>
            <w:vMerge w:val="continue"/>
            <w:noWrap w:val="0"/>
            <w:vAlign w:val="center"/>
          </w:tcPr>
          <w:p>
            <w:pPr>
              <w:spacing w:line="320" w:lineRule="exact"/>
              <w:rPr>
                <w:rFonts w:hint="eastAsia" w:ascii="仿宋_GB2312" w:hAnsi="仿宋_GB2312" w:eastAsia="仿宋_GB2312" w:cs="仿宋_GB2312"/>
                <w:sz w:val="24"/>
              </w:rPr>
            </w:pPr>
          </w:p>
        </w:tc>
        <w:tc>
          <w:tcPr>
            <w:tcW w:w="1549" w:type="dxa"/>
            <w:gridSpan w:val="4"/>
            <w:vMerge w:val="restart"/>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效益目标</w:t>
            </w:r>
          </w:p>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（预期实现的效益）</w:t>
            </w:r>
          </w:p>
        </w:tc>
        <w:tc>
          <w:tcPr>
            <w:tcW w:w="1417" w:type="dxa"/>
            <w:gridSpan w:val="2"/>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社会效益</w:t>
            </w:r>
          </w:p>
        </w:tc>
        <w:tc>
          <w:tcPr>
            <w:tcW w:w="2709" w:type="dxa"/>
            <w:gridSpan w:val="4"/>
            <w:noWrap w:val="0"/>
            <w:vAlign w:val="center"/>
          </w:tcPr>
          <w:p>
            <w:pPr>
              <w:autoSpaceDN w:val="0"/>
              <w:spacing w:line="320" w:lineRule="exact"/>
              <w:jc w:val="left"/>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rPr>
              <w:t>指标1：</w:t>
            </w:r>
            <w:r>
              <w:rPr>
                <w:rFonts w:hint="eastAsia" w:ascii="仿宋_GB2312" w:hAnsi="仿宋_GB2312" w:eastAsia="仿宋_GB2312" w:cs="仿宋_GB2312"/>
                <w:color w:val="000000"/>
                <w:sz w:val="24"/>
                <w:lang w:val="en-US" w:eastAsia="zh-CN"/>
              </w:rPr>
              <w:t>药品零差率实施率≥90%</w:t>
            </w:r>
          </w:p>
          <w:p>
            <w:pPr>
              <w:autoSpaceDN w:val="0"/>
              <w:spacing w:line="320" w:lineRule="exact"/>
              <w:jc w:val="left"/>
              <w:textAlignment w:val="center"/>
              <w:rPr>
                <w:rFonts w:hint="eastAsia" w:ascii="仿宋_GB2312" w:hAnsi="仿宋_GB2312" w:eastAsia="仿宋_GB2312" w:cs="仿宋_GB2312"/>
                <w:color w:val="000000"/>
                <w:sz w:val="24"/>
              </w:rPr>
            </w:pPr>
          </w:p>
          <w:p>
            <w:pPr>
              <w:autoSpaceDN w:val="0"/>
              <w:spacing w:line="320" w:lineRule="exact"/>
              <w:jc w:val="left"/>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rPr>
              <w:t>指标2：</w:t>
            </w:r>
          </w:p>
          <w:p>
            <w:pPr>
              <w:autoSpaceDN w:val="0"/>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w:t>
            </w:r>
          </w:p>
        </w:tc>
        <w:tc>
          <w:tcPr>
            <w:tcW w:w="2684" w:type="dxa"/>
            <w:gridSpan w:val="6"/>
            <w:noWrap w:val="0"/>
            <w:vAlign w:val="center"/>
          </w:tcPr>
          <w:p>
            <w:pPr>
              <w:autoSpaceDN w:val="0"/>
              <w:spacing w:line="320" w:lineRule="exact"/>
              <w:jc w:val="center"/>
              <w:textAlignment w:val="center"/>
              <w:rPr>
                <w:rFonts w:hint="default" w:ascii="仿宋_GB2312" w:hAnsi="仿宋_GB2312" w:eastAsia="仿宋_GB2312" w:cs="仿宋_GB2312"/>
                <w:b/>
                <w:color w:val="000000"/>
                <w:sz w:val="24"/>
                <w:lang w:val="en-US" w:eastAsia="zh-CN"/>
              </w:rPr>
            </w:pPr>
            <w:r>
              <w:rPr>
                <w:rFonts w:hint="eastAsia" w:ascii="仿宋_GB2312" w:hAnsi="仿宋_GB2312" w:eastAsia="仿宋_GB2312" w:cs="仿宋_GB2312"/>
                <w:i w:val="0"/>
                <w:iCs w:val="0"/>
                <w:color w:val="000000"/>
                <w:sz w:val="24"/>
                <w:lang w:val="en-US" w:eastAsia="zh-CN"/>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54" w:hRule="atLeast"/>
          <w:jc w:val="center"/>
        </w:trPr>
        <w:tc>
          <w:tcPr>
            <w:tcW w:w="1441" w:type="dxa"/>
            <w:vMerge w:val="continue"/>
            <w:noWrap w:val="0"/>
            <w:vAlign w:val="center"/>
          </w:tcPr>
          <w:p>
            <w:pPr>
              <w:spacing w:line="320" w:lineRule="exact"/>
              <w:rPr>
                <w:rFonts w:hint="eastAsia" w:ascii="仿宋_GB2312" w:hAnsi="仿宋_GB2312" w:eastAsia="仿宋_GB2312" w:cs="仿宋_GB2312"/>
                <w:sz w:val="24"/>
              </w:rPr>
            </w:pPr>
          </w:p>
        </w:tc>
        <w:tc>
          <w:tcPr>
            <w:tcW w:w="1549" w:type="dxa"/>
            <w:gridSpan w:val="4"/>
            <w:vMerge w:val="continue"/>
            <w:noWrap w:val="0"/>
            <w:vAlign w:val="center"/>
          </w:tcPr>
          <w:p>
            <w:pPr>
              <w:autoSpaceDN w:val="0"/>
              <w:spacing w:line="320" w:lineRule="exact"/>
              <w:rPr>
                <w:rFonts w:hint="eastAsia" w:ascii="仿宋_GB2312" w:hAnsi="仿宋_GB2312" w:eastAsia="仿宋_GB2312" w:cs="仿宋_GB2312"/>
                <w:sz w:val="24"/>
              </w:rPr>
            </w:pPr>
          </w:p>
        </w:tc>
        <w:tc>
          <w:tcPr>
            <w:tcW w:w="1417" w:type="dxa"/>
            <w:gridSpan w:val="2"/>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经济效益</w:t>
            </w:r>
          </w:p>
        </w:tc>
        <w:tc>
          <w:tcPr>
            <w:tcW w:w="2709" w:type="dxa"/>
            <w:gridSpan w:val="4"/>
            <w:noWrap w:val="0"/>
            <w:vAlign w:val="center"/>
          </w:tcPr>
          <w:p>
            <w:pPr>
              <w:autoSpaceDN w:val="0"/>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指标1：</w:t>
            </w:r>
          </w:p>
          <w:p>
            <w:pPr>
              <w:autoSpaceDN w:val="0"/>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指标2：</w:t>
            </w:r>
          </w:p>
          <w:p>
            <w:pPr>
              <w:autoSpaceDN w:val="0"/>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w:t>
            </w:r>
          </w:p>
        </w:tc>
        <w:tc>
          <w:tcPr>
            <w:tcW w:w="2684" w:type="dxa"/>
            <w:gridSpan w:val="6"/>
            <w:noWrap w:val="0"/>
            <w:vAlign w:val="center"/>
          </w:tcPr>
          <w:p>
            <w:pPr>
              <w:autoSpaceDN w:val="0"/>
              <w:spacing w:line="320" w:lineRule="exact"/>
              <w:jc w:val="center"/>
              <w:textAlignment w:val="center"/>
              <w:rPr>
                <w:rFonts w:hint="eastAsia" w:ascii="仿宋_GB2312" w:hAnsi="仿宋_GB2312" w:eastAsia="仿宋_GB2312" w:cs="仿宋_GB2312"/>
                <w:b/>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54" w:hRule="atLeast"/>
          <w:jc w:val="center"/>
        </w:trPr>
        <w:tc>
          <w:tcPr>
            <w:tcW w:w="1441" w:type="dxa"/>
            <w:vMerge w:val="continue"/>
            <w:noWrap w:val="0"/>
            <w:vAlign w:val="center"/>
          </w:tcPr>
          <w:p>
            <w:pPr>
              <w:spacing w:line="320" w:lineRule="exact"/>
              <w:rPr>
                <w:rFonts w:hint="eastAsia" w:ascii="仿宋_GB2312" w:hAnsi="仿宋_GB2312" w:eastAsia="仿宋_GB2312" w:cs="仿宋_GB2312"/>
                <w:sz w:val="24"/>
              </w:rPr>
            </w:pPr>
          </w:p>
        </w:tc>
        <w:tc>
          <w:tcPr>
            <w:tcW w:w="1549" w:type="dxa"/>
            <w:gridSpan w:val="4"/>
            <w:vMerge w:val="continue"/>
            <w:noWrap w:val="0"/>
            <w:vAlign w:val="center"/>
          </w:tcPr>
          <w:p>
            <w:pPr>
              <w:autoSpaceDN w:val="0"/>
              <w:spacing w:line="320" w:lineRule="exact"/>
              <w:rPr>
                <w:rFonts w:hint="eastAsia" w:ascii="仿宋_GB2312" w:hAnsi="仿宋_GB2312" w:eastAsia="仿宋_GB2312" w:cs="仿宋_GB2312"/>
                <w:sz w:val="24"/>
              </w:rPr>
            </w:pPr>
          </w:p>
        </w:tc>
        <w:tc>
          <w:tcPr>
            <w:tcW w:w="1417" w:type="dxa"/>
            <w:gridSpan w:val="2"/>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生态效益</w:t>
            </w:r>
          </w:p>
        </w:tc>
        <w:tc>
          <w:tcPr>
            <w:tcW w:w="2709" w:type="dxa"/>
            <w:gridSpan w:val="4"/>
            <w:noWrap w:val="0"/>
            <w:vAlign w:val="center"/>
          </w:tcPr>
          <w:p>
            <w:pPr>
              <w:autoSpaceDN w:val="0"/>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指标1：</w:t>
            </w:r>
          </w:p>
          <w:p>
            <w:pPr>
              <w:autoSpaceDN w:val="0"/>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指标2：</w:t>
            </w:r>
          </w:p>
          <w:p>
            <w:pPr>
              <w:autoSpaceDN w:val="0"/>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w:t>
            </w:r>
          </w:p>
        </w:tc>
        <w:tc>
          <w:tcPr>
            <w:tcW w:w="2684" w:type="dxa"/>
            <w:gridSpan w:val="6"/>
            <w:noWrap w:val="0"/>
            <w:vAlign w:val="center"/>
          </w:tcPr>
          <w:p>
            <w:pPr>
              <w:autoSpaceDN w:val="0"/>
              <w:spacing w:line="320" w:lineRule="exact"/>
              <w:jc w:val="center"/>
              <w:textAlignment w:val="center"/>
              <w:rPr>
                <w:rFonts w:hint="eastAsia" w:ascii="仿宋_GB2312" w:hAnsi="仿宋_GB2312" w:eastAsia="仿宋_GB2312" w:cs="仿宋_GB2312"/>
                <w:b/>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54" w:hRule="atLeast"/>
          <w:jc w:val="center"/>
        </w:trPr>
        <w:tc>
          <w:tcPr>
            <w:tcW w:w="1441" w:type="dxa"/>
            <w:vMerge w:val="continue"/>
            <w:noWrap w:val="0"/>
            <w:vAlign w:val="center"/>
          </w:tcPr>
          <w:p>
            <w:pPr>
              <w:spacing w:line="320" w:lineRule="exact"/>
              <w:rPr>
                <w:rFonts w:hint="eastAsia" w:ascii="仿宋_GB2312" w:hAnsi="仿宋_GB2312" w:eastAsia="仿宋_GB2312" w:cs="仿宋_GB2312"/>
                <w:sz w:val="24"/>
              </w:rPr>
            </w:pPr>
          </w:p>
        </w:tc>
        <w:tc>
          <w:tcPr>
            <w:tcW w:w="1549" w:type="dxa"/>
            <w:gridSpan w:val="4"/>
            <w:vMerge w:val="continue"/>
            <w:noWrap w:val="0"/>
            <w:vAlign w:val="center"/>
          </w:tcPr>
          <w:p>
            <w:pPr>
              <w:autoSpaceDN w:val="0"/>
              <w:spacing w:line="320" w:lineRule="exact"/>
              <w:rPr>
                <w:rFonts w:hint="eastAsia" w:ascii="仿宋_GB2312" w:hAnsi="仿宋_GB2312" w:eastAsia="仿宋_GB2312" w:cs="仿宋_GB2312"/>
                <w:sz w:val="24"/>
              </w:rPr>
            </w:pPr>
          </w:p>
        </w:tc>
        <w:tc>
          <w:tcPr>
            <w:tcW w:w="1417" w:type="dxa"/>
            <w:gridSpan w:val="2"/>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社会公众或服务对象满意度</w:t>
            </w:r>
          </w:p>
        </w:tc>
        <w:tc>
          <w:tcPr>
            <w:tcW w:w="2709" w:type="dxa"/>
            <w:gridSpan w:val="4"/>
            <w:noWrap w:val="0"/>
            <w:vAlign w:val="center"/>
          </w:tcPr>
          <w:p>
            <w:pPr>
              <w:autoSpaceDN w:val="0"/>
              <w:spacing w:line="320" w:lineRule="exact"/>
              <w:jc w:val="left"/>
              <w:textAlignment w:val="center"/>
              <w:rPr>
                <w:rFonts w:hint="default" w:ascii="仿宋_GB2312" w:hAnsi="仿宋_GB2312" w:eastAsia="仿宋_GB2312" w:cs="仿宋_GB2312"/>
                <w:color w:val="000000"/>
                <w:sz w:val="24"/>
                <w:lang w:val="en-US"/>
              </w:rPr>
            </w:pPr>
            <w:r>
              <w:rPr>
                <w:rFonts w:hint="eastAsia" w:ascii="仿宋_GB2312" w:hAnsi="仿宋_GB2312" w:eastAsia="仿宋_GB2312" w:cs="仿宋_GB2312"/>
                <w:color w:val="000000"/>
                <w:sz w:val="24"/>
              </w:rPr>
              <w:t>指标1：</w:t>
            </w:r>
            <w:r>
              <w:rPr>
                <w:rFonts w:hint="eastAsia" w:ascii="仿宋" w:hAnsi="仿宋" w:eastAsia="仿宋" w:cs="仿宋"/>
                <w:color w:val="000000"/>
                <w:sz w:val="24"/>
                <w:szCs w:val="24"/>
              </w:rPr>
              <w:t>群众满意率</w:t>
            </w:r>
            <w:r>
              <w:rPr>
                <w:rFonts w:hint="eastAsia" w:ascii="仿宋_GB2312" w:hAnsi="仿宋_GB2312" w:eastAsia="仿宋_GB2312" w:cs="仿宋_GB2312"/>
                <w:color w:val="000000"/>
                <w:sz w:val="24"/>
                <w:lang w:val="en-US" w:eastAsia="zh-CN"/>
              </w:rPr>
              <w:t>≥90%</w:t>
            </w:r>
          </w:p>
          <w:p>
            <w:pPr>
              <w:autoSpaceDN w:val="0"/>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指标2：</w:t>
            </w:r>
          </w:p>
          <w:p>
            <w:pPr>
              <w:autoSpaceDN w:val="0"/>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w:t>
            </w:r>
          </w:p>
        </w:tc>
        <w:tc>
          <w:tcPr>
            <w:tcW w:w="2684" w:type="dxa"/>
            <w:gridSpan w:val="6"/>
            <w:noWrap w:val="0"/>
            <w:vAlign w:val="center"/>
          </w:tcPr>
          <w:p>
            <w:pPr>
              <w:autoSpaceDN w:val="0"/>
              <w:spacing w:line="320" w:lineRule="exact"/>
              <w:jc w:val="center"/>
              <w:textAlignment w:val="center"/>
              <w:rPr>
                <w:rFonts w:hint="default" w:ascii="仿宋_GB2312" w:hAnsi="仿宋_GB2312" w:eastAsia="仿宋_GB2312" w:cs="仿宋_GB2312"/>
                <w:b/>
                <w:color w:val="000000"/>
                <w:sz w:val="24"/>
                <w:lang w:val="en-US" w:eastAsia="zh-CN"/>
              </w:rPr>
            </w:pPr>
            <w:r>
              <w:rPr>
                <w:rFonts w:hint="eastAsia" w:ascii="仿宋" w:hAnsi="仿宋" w:eastAsia="仿宋" w:cs="仿宋"/>
                <w:color w:val="000000"/>
                <w:sz w:val="24"/>
                <w:szCs w:val="24"/>
                <w:lang w:val="en-US" w:eastAsia="zh-CN"/>
              </w:rPr>
              <w:t>95%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1654" w:type="dxa"/>
            <w:gridSpan w:val="2"/>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绩效自评综合得分</w:t>
            </w:r>
          </w:p>
        </w:tc>
        <w:tc>
          <w:tcPr>
            <w:tcW w:w="8146" w:type="dxa"/>
            <w:gridSpan w:val="15"/>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1654" w:type="dxa"/>
            <w:gridSpan w:val="2"/>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评价等次</w:t>
            </w:r>
          </w:p>
        </w:tc>
        <w:tc>
          <w:tcPr>
            <w:tcW w:w="8146" w:type="dxa"/>
            <w:gridSpan w:val="15"/>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80" w:hRule="atLeast"/>
          <w:jc w:val="center"/>
        </w:trPr>
        <w:tc>
          <w:tcPr>
            <w:tcW w:w="9800" w:type="dxa"/>
            <w:gridSpan w:val="17"/>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黑体" w:hAnsi="黑体" w:eastAsia="黑体" w:cs="黑体"/>
                <w:color w:val="000000"/>
                <w:sz w:val="28"/>
                <w:szCs w:val="28"/>
              </w:rPr>
              <w:t>四、评价人员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1654" w:type="dxa"/>
            <w:gridSpan w:val="2"/>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姓  名</w:t>
            </w:r>
          </w:p>
        </w:tc>
        <w:tc>
          <w:tcPr>
            <w:tcW w:w="3561" w:type="dxa"/>
            <w:gridSpan w:val="6"/>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职务/职称</w:t>
            </w:r>
          </w:p>
        </w:tc>
        <w:tc>
          <w:tcPr>
            <w:tcW w:w="1479" w:type="dxa"/>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单  位</w:t>
            </w:r>
          </w:p>
        </w:tc>
        <w:tc>
          <w:tcPr>
            <w:tcW w:w="3106" w:type="dxa"/>
            <w:gridSpan w:val="8"/>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签  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80" w:hRule="atLeast"/>
          <w:jc w:val="center"/>
        </w:trPr>
        <w:tc>
          <w:tcPr>
            <w:tcW w:w="1654" w:type="dxa"/>
            <w:gridSpan w:val="2"/>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3561" w:type="dxa"/>
            <w:gridSpan w:val="6"/>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479" w:type="dxa"/>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3106" w:type="dxa"/>
            <w:gridSpan w:val="8"/>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80" w:hRule="atLeast"/>
          <w:jc w:val="center"/>
        </w:trPr>
        <w:tc>
          <w:tcPr>
            <w:tcW w:w="1654" w:type="dxa"/>
            <w:gridSpan w:val="2"/>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3561" w:type="dxa"/>
            <w:gridSpan w:val="6"/>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479" w:type="dxa"/>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3106" w:type="dxa"/>
            <w:gridSpan w:val="8"/>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80" w:hRule="atLeast"/>
          <w:jc w:val="center"/>
        </w:trPr>
        <w:tc>
          <w:tcPr>
            <w:tcW w:w="1654" w:type="dxa"/>
            <w:gridSpan w:val="2"/>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3561" w:type="dxa"/>
            <w:gridSpan w:val="6"/>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479" w:type="dxa"/>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3106" w:type="dxa"/>
            <w:gridSpan w:val="8"/>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80" w:hRule="atLeast"/>
          <w:jc w:val="center"/>
        </w:trPr>
        <w:tc>
          <w:tcPr>
            <w:tcW w:w="1654" w:type="dxa"/>
            <w:gridSpan w:val="2"/>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3561" w:type="dxa"/>
            <w:gridSpan w:val="6"/>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1479" w:type="dxa"/>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c>
          <w:tcPr>
            <w:tcW w:w="3106" w:type="dxa"/>
            <w:gridSpan w:val="8"/>
            <w:noWrap w:val="0"/>
            <w:vAlign w:val="center"/>
          </w:tcPr>
          <w:p>
            <w:pPr>
              <w:autoSpaceDN w:val="0"/>
              <w:spacing w:line="320" w:lineRule="exact"/>
              <w:jc w:val="center"/>
              <w:textAlignment w:val="center"/>
              <w:rPr>
                <w:rFonts w:hint="eastAsia"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3058" w:hRule="atLeast"/>
          <w:jc w:val="center"/>
        </w:trPr>
        <w:tc>
          <w:tcPr>
            <w:tcW w:w="9800" w:type="dxa"/>
            <w:gridSpan w:val="17"/>
            <w:noWrap w:val="0"/>
            <w:vAlign w:val="center"/>
          </w:tcPr>
          <w:p>
            <w:pPr>
              <w:autoSpaceDN w:val="0"/>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评价组组长（签字）：</w:t>
            </w:r>
          </w:p>
          <w:p>
            <w:pPr>
              <w:autoSpaceDN w:val="0"/>
              <w:spacing w:line="320" w:lineRule="exact"/>
              <w:jc w:val="left"/>
              <w:textAlignment w:val="center"/>
              <w:rPr>
                <w:rFonts w:hint="eastAsia" w:ascii="仿宋_GB2312" w:hAnsi="仿宋_GB2312" w:eastAsia="仿宋_GB2312" w:cs="仿宋_GB2312"/>
                <w:color w:val="000000"/>
                <w:sz w:val="24"/>
              </w:rPr>
            </w:pPr>
          </w:p>
          <w:p>
            <w:pPr>
              <w:autoSpaceDN w:val="0"/>
              <w:spacing w:line="320" w:lineRule="exact"/>
              <w:jc w:val="left"/>
              <w:textAlignment w:val="center"/>
              <w:rPr>
                <w:rFonts w:hint="eastAsia" w:ascii="仿宋_GB2312" w:hAnsi="仿宋_GB2312" w:eastAsia="仿宋_GB2312" w:cs="仿宋_GB2312"/>
                <w:color w:val="000000"/>
                <w:sz w:val="24"/>
              </w:rPr>
            </w:pPr>
          </w:p>
          <w:p>
            <w:pPr>
              <w:autoSpaceDN w:val="0"/>
              <w:spacing w:line="320" w:lineRule="exact"/>
              <w:jc w:val="left"/>
              <w:textAlignment w:val="center"/>
              <w:rPr>
                <w:rFonts w:hint="eastAsia" w:ascii="仿宋_GB2312" w:hAnsi="仿宋_GB2312" w:eastAsia="仿宋_GB2312" w:cs="仿宋_GB2312"/>
                <w:color w:val="000000"/>
                <w:sz w:val="24"/>
              </w:rPr>
            </w:pPr>
          </w:p>
          <w:p>
            <w:pPr>
              <w:autoSpaceDN w:val="0"/>
              <w:spacing w:line="320" w:lineRule="exact"/>
              <w:jc w:val="left"/>
              <w:textAlignment w:val="center"/>
              <w:rPr>
                <w:rFonts w:hint="eastAsia" w:ascii="仿宋_GB2312" w:hAnsi="仿宋_GB2312" w:eastAsia="仿宋_GB2312" w:cs="仿宋_GB2312"/>
                <w:color w:val="000000"/>
                <w:sz w:val="24"/>
              </w:rPr>
            </w:pPr>
          </w:p>
          <w:p>
            <w:pPr>
              <w:autoSpaceDN w:val="0"/>
              <w:spacing w:line="320" w:lineRule="exact"/>
              <w:jc w:val="left"/>
              <w:textAlignment w:val="center"/>
              <w:rPr>
                <w:rFonts w:hint="eastAsia" w:ascii="仿宋_GB2312" w:hAnsi="仿宋_GB2312" w:eastAsia="仿宋_GB2312" w:cs="仿宋_GB2312"/>
                <w:color w:val="000000"/>
                <w:sz w:val="24"/>
              </w:rPr>
            </w:pPr>
          </w:p>
          <w:p>
            <w:pPr>
              <w:autoSpaceDN w:val="0"/>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 xml:space="preserve">                                                               年    月    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3952" w:hRule="atLeast"/>
          <w:jc w:val="center"/>
        </w:trPr>
        <w:tc>
          <w:tcPr>
            <w:tcW w:w="9800" w:type="dxa"/>
            <w:gridSpan w:val="17"/>
            <w:noWrap w:val="0"/>
            <w:vAlign w:val="center"/>
          </w:tcPr>
          <w:p>
            <w:pPr>
              <w:autoSpaceDN w:val="0"/>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部门（单位）意见：</w:t>
            </w:r>
          </w:p>
          <w:p>
            <w:pPr>
              <w:autoSpaceDN w:val="0"/>
              <w:spacing w:line="320" w:lineRule="exact"/>
              <w:jc w:val="left"/>
              <w:textAlignment w:val="center"/>
              <w:rPr>
                <w:rFonts w:hint="eastAsia" w:ascii="仿宋_GB2312" w:hAnsi="仿宋_GB2312" w:eastAsia="仿宋_GB2312" w:cs="仿宋_GB2312"/>
                <w:color w:val="000000"/>
                <w:sz w:val="24"/>
              </w:rPr>
            </w:pPr>
          </w:p>
          <w:p>
            <w:pPr>
              <w:autoSpaceDN w:val="0"/>
              <w:spacing w:line="320" w:lineRule="exact"/>
              <w:jc w:val="left"/>
              <w:textAlignment w:val="center"/>
              <w:rPr>
                <w:rFonts w:hint="eastAsia" w:ascii="仿宋_GB2312" w:hAnsi="仿宋_GB2312" w:eastAsia="仿宋_GB2312" w:cs="仿宋_GB2312"/>
                <w:color w:val="000000"/>
                <w:sz w:val="24"/>
              </w:rPr>
            </w:pPr>
          </w:p>
          <w:p>
            <w:pPr>
              <w:autoSpaceDN w:val="0"/>
              <w:spacing w:line="320" w:lineRule="exact"/>
              <w:jc w:val="left"/>
              <w:textAlignment w:val="center"/>
              <w:rPr>
                <w:rFonts w:hint="eastAsia" w:ascii="仿宋_GB2312" w:hAnsi="仿宋_GB2312" w:eastAsia="仿宋_GB2312" w:cs="仿宋_GB2312"/>
                <w:color w:val="000000"/>
                <w:sz w:val="24"/>
              </w:rPr>
            </w:pPr>
          </w:p>
          <w:p>
            <w:pPr>
              <w:autoSpaceDN w:val="0"/>
              <w:spacing w:line="320" w:lineRule="exact"/>
              <w:jc w:val="left"/>
              <w:textAlignment w:val="center"/>
              <w:rPr>
                <w:rFonts w:hint="eastAsia" w:ascii="仿宋_GB2312" w:hAnsi="仿宋_GB2312" w:eastAsia="仿宋_GB2312" w:cs="仿宋_GB2312"/>
                <w:color w:val="000000"/>
                <w:sz w:val="24"/>
              </w:rPr>
            </w:pPr>
          </w:p>
          <w:p>
            <w:pPr>
              <w:autoSpaceDN w:val="0"/>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 xml:space="preserve">                                         部门（单位）负责人（签章）：</w:t>
            </w:r>
          </w:p>
          <w:p>
            <w:pPr>
              <w:autoSpaceDN w:val="0"/>
              <w:spacing w:line="320" w:lineRule="exact"/>
              <w:jc w:val="left"/>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 xml:space="preserve">                                                               年    月    日</w:t>
            </w:r>
          </w:p>
        </w:tc>
      </w:tr>
    </w:tbl>
    <w:p>
      <w:pPr>
        <w:rPr>
          <w:rFonts w:hint="eastAsia" w:eastAsia="仿宋_GB2312" w:cs="仿宋_GB2312"/>
          <w:bCs/>
          <w:sz w:val="28"/>
          <w:szCs w:val="28"/>
        </w:rPr>
      </w:pPr>
      <w:r>
        <w:rPr>
          <w:rFonts w:hint="eastAsia" w:eastAsia="仿宋_GB2312" w:cs="仿宋_GB2312"/>
          <w:bCs/>
          <w:sz w:val="28"/>
          <w:szCs w:val="28"/>
        </w:rPr>
        <w:t>填报人（签名）：                          联系电话：</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98" w:hRule="atLeast"/>
          <w:jc w:val="center"/>
        </w:trPr>
        <w:tc>
          <w:tcPr>
            <w:tcW w:w="9558" w:type="dxa"/>
            <w:noWrap w:val="0"/>
            <w:vAlign w:val="top"/>
          </w:tcPr>
          <w:p>
            <w:pPr>
              <w:jc w:val="center"/>
              <w:rPr>
                <w:rFonts w:hint="eastAsia" w:ascii="黑体" w:hAnsi="黑体" w:eastAsia="黑体" w:cs="黑体"/>
                <w:bCs/>
                <w:sz w:val="28"/>
                <w:szCs w:val="28"/>
              </w:rPr>
            </w:pPr>
            <w:r>
              <w:rPr>
                <w:rFonts w:hint="eastAsia" w:ascii="黑体" w:hAnsi="黑体" w:eastAsia="黑体" w:cs="黑体"/>
                <w:bCs/>
                <w:sz w:val="28"/>
                <w:szCs w:val="28"/>
              </w:rPr>
              <w:t>五、评价报告综述（文字部分）</w:t>
            </w:r>
          </w:p>
          <w:p>
            <w:pPr>
              <w:spacing w:line="440" w:lineRule="exact"/>
              <w:ind w:firstLine="640" w:firstLineChars="200"/>
              <w:rPr>
                <w:rFonts w:hint="eastAsia" w:eastAsia="仿宋_GB2312"/>
                <w:sz w:val="32"/>
                <w:szCs w:val="32"/>
              </w:rPr>
            </w:pPr>
          </w:p>
          <w:p>
            <w:pPr>
              <w:spacing w:line="560" w:lineRule="exact"/>
              <w:ind w:firstLine="560" w:firstLineChars="200"/>
              <w:rPr>
                <w:rFonts w:hint="eastAsia" w:ascii="黑体" w:hAnsi="黑体" w:eastAsia="黑体" w:cs="黑体"/>
                <w:bCs/>
                <w:sz w:val="28"/>
                <w:szCs w:val="28"/>
              </w:rPr>
            </w:pPr>
            <w:r>
              <w:rPr>
                <w:rFonts w:hint="eastAsia" w:ascii="黑体" w:hAnsi="黑体" w:eastAsia="黑体" w:cs="黑体"/>
                <w:bCs/>
                <w:sz w:val="28"/>
                <w:szCs w:val="28"/>
              </w:rPr>
              <w:t>一、</w:t>
            </w:r>
            <w:r>
              <w:rPr>
                <w:rFonts w:hint="eastAsia" w:ascii="黑体" w:hAnsi="黑体" w:eastAsia="黑体" w:cs="黑体"/>
                <w:bCs/>
                <w:sz w:val="28"/>
                <w:szCs w:val="28"/>
                <w:lang w:val="en-US" w:eastAsia="zh-CN"/>
              </w:rPr>
              <w:t>岳阳县人民医院</w:t>
            </w:r>
            <w:r>
              <w:rPr>
                <w:rFonts w:hint="eastAsia" w:ascii="黑体" w:hAnsi="黑体" w:eastAsia="黑体" w:cs="黑体"/>
                <w:bCs/>
                <w:sz w:val="28"/>
                <w:szCs w:val="28"/>
              </w:rPr>
              <w:t>概况</w:t>
            </w:r>
          </w:p>
          <w:p>
            <w:pPr>
              <w:spacing w:line="56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w:t>
            </w:r>
            <w:r>
              <w:rPr>
                <w:rFonts w:hint="eastAsia" w:ascii="仿宋_GB2312" w:hAnsi="仿宋_GB2312" w:eastAsia="仿宋_GB2312" w:cs="仿宋_GB2312"/>
                <w:bCs/>
                <w:sz w:val="28"/>
                <w:szCs w:val="28"/>
                <w:lang w:val="en-US" w:eastAsia="zh-CN"/>
              </w:rPr>
              <w:t>岳阳县人民医院</w:t>
            </w:r>
            <w:r>
              <w:rPr>
                <w:rFonts w:hint="eastAsia" w:ascii="仿宋_GB2312" w:hAnsi="仿宋_GB2312" w:eastAsia="仿宋_GB2312" w:cs="仿宋_GB2312"/>
                <w:bCs/>
                <w:sz w:val="28"/>
                <w:szCs w:val="28"/>
              </w:rPr>
              <w:t>基本情况</w:t>
            </w:r>
          </w:p>
          <w:p>
            <w:pPr>
              <w:spacing w:line="560" w:lineRule="exact"/>
              <w:ind w:firstLine="560" w:firstLineChars="200"/>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岳阳县人民医院是全县唯一一家集医疗、教学、科研、预防、保健和急救于一体的二级甲等综合性医院，国家首批“千县工程”建设医院，岳阳市市级文明标兵单位，岳阳县120急救中心，危重孕产妇，危重儿童、新生儿救治中心，胸痛中心，卒中中心，创伤中心，中南大学湘雅医院定点指导医院、省级爱婴医院、省老年友善医院、岳阳职业技术学院临床教学医院。承担着全县72万人民的防病治病、医疗急救和全县15个乡镇医院的巡回医疗、业务培训以及全县突发公共卫生事件的处置等任务。</w:t>
            </w:r>
          </w:p>
          <w:p>
            <w:pPr>
              <w:spacing w:line="560" w:lineRule="exact"/>
              <w:ind w:firstLine="560" w:firstLineChars="200"/>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医院占地面积65000平方米，总建筑面积55000平方米，开放床位700张；新建3万平方米的现代化、高标准外科大楼已启动建设，2024年投入使用。现有在职职工634人，其中高级职称88人（正高11人），中级职称257人，初级职称258人，博士1人，硕士研究生2人，岳阳市名医3人，岳阳县名医5人；省、市重点专科5个；年门急诊量30万人次，收治住院2.5万人次，开展手术近8000台次。拥有飞利浦大C（DSA）、美国GE1.5T核磁、美国GE64排CT、16排CT、四维彩超、彩色B超、电子胃肠镜、电子支气管镜、DR、CR、乳腺钼靶、骨密度仪、腹腔镜、宫腔镜、鼻窦内窥镜、呼吸机、血液透析机等先进诊疗设备300余台(件)。</w:t>
            </w:r>
          </w:p>
          <w:p>
            <w:pPr>
              <w:spacing w:line="560" w:lineRule="exact"/>
              <w:ind w:firstLine="560" w:firstLineChars="200"/>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医院设有急诊科、重症医学科、手术室、麻醉科、骨一科（骨科胸外烧伤）、骨二科（神经脊柱手外科）、普外科、泌尿外科、妇科、产科、五官科、心血管肾内科、神经内分泌科、消化内科，呼吸血液内科、感染科、中医老年病科、肿瘤科、儿科、新生儿科、血液透析中心、健康管理中心、康复理疗中心、影像中心（放射、CT、核磁共振）、介入中心、卒中中心、体外碎石中心、检验科、超声科、口腔科、皮肤科、病理科等临床、医技科室30多个。设有医务科、护理部、党政办、院感科、财务科、设备科、后勤科、信息科、药剂科等行政职能科室10余个。</w:t>
            </w:r>
          </w:p>
          <w:p>
            <w:pPr>
              <w:numPr>
                <w:ilvl w:val="0"/>
                <w:numId w:val="1"/>
              </w:numPr>
              <w:spacing w:line="560" w:lineRule="exact"/>
              <w:ind w:firstLine="280" w:firstLineChars="1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lang w:val="en-US" w:eastAsia="zh-CN"/>
              </w:rPr>
              <w:t>岳阳县人民医院</w:t>
            </w:r>
            <w:r>
              <w:rPr>
                <w:rFonts w:hint="eastAsia" w:ascii="仿宋_GB2312" w:hAnsi="仿宋_GB2312" w:eastAsia="仿宋_GB2312" w:cs="仿宋_GB2312"/>
                <w:bCs/>
                <w:sz w:val="28"/>
                <w:szCs w:val="28"/>
              </w:rPr>
              <w:t>整体支出规模、使用方向和主要内容、涉及范围等</w:t>
            </w:r>
          </w:p>
          <w:p>
            <w:pPr>
              <w:pStyle w:val="8"/>
              <w:ind w:firstLine="560" w:firstLineChars="200"/>
              <w:rPr>
                <w:rFonts w:hint="eastAsia" w:ascii="仿宋_GB2312" w:hAnsi="仿宋_GB2312" w:eastAsia="仿宋_GB2312" w:cs="仿宋_GB2312"/>
                <w:bCs/>
                <w:color w:val="auto"/>
                <w:kern w:val="2"/>
                <w:sz w:val="28"/>
                <w:szCs w:val="28"/>
                <w:lang w:val="en-US" w:eastAsia="zh-CN" w:bidi="ar-SA"/>
              </w:rPr>
            </w:pPr>
            <w:r>
              <w:rPr>
                <w:rFonts w:hint="eastAsia" w:ascii="仿宋_GB2312" w:hAnsi="仿宋_GB2312" w:eastAsia="仿宋_GB2312" w:cs="仿宋_GB2312"/>
                <w:bCs/>
                <w:color w:val="auto"/>
                <w:kern w:val="2"/>
                <w:sz w:val="28"/>
                <w:szCs w:val="28"/>
                <w:lang w:val="en-US" w:eastAsia="zh-CN" w:bidi="ar-SA"/>
              </w:rPr>
              <w:t>本年支出合计20935.55万元（不含年末结转和结余资金），其中：基本支出20266.69万元，占96.80%；项目支出668.86万元，占3.20%；上缴上级支出0万元，占0%；经营支出0万元，占0%；对附属单位补助支出0万元，占0%。</w:t>
            </w:r>
          </w:p>
          <w:p>
            <w:pPr>
              <w:numPr>
                <w:ilvl w:val="0"/>
                <w:numId w:val="0"/>
              </w:numPr>
              <w:spacing w:line="560" w:lineRule="exact"/>
              <w:rPr>
                <w:rFonts w:hint="eastAsia" w:ascii="仿宋_GB2312" w:hAnsi="仿宋_GB2312" w:eastAsia="仿宋_GB2312" w:cs="仿宋_GB2312"/>
                <w:bCs/>
                <w:sz w:val="28"/>
                <w:szCs w:val="28"/>
              </w:rPr>
            </w:pPr>
          </w:p>
          <w:p>
            <w:pPr>
              <w:spacing w:line="560" w:lineRule="exact"/>
              <w:ind w:firstLine="560" w:firstLineChars="200"/>
              <w:rPr>
                <w:rFonts w:hint="eastAsia" w:ascii="黑体" w:hAnsi="黑体" w:eastAsia="黑体" w:cs="黑体"/>
                <w:bCs/>
                <w:sz w:val="28"/>
                <w:szCs w:val="28"/>
              </w:rPr>
            </w:pPr>
            <w:r>
              <w:rPr>
                <w:rFonts w:hint="eastAsia" w:ascii="黑体" w:hAnsi="黑体" w:eastAsia="黑体" w:cs="黑体"/>
                <w:bCs/>
                <w:sz w:val="28"/>
                <w:szCs w:val="28"/>
              </w:rPr>
              <w:t>二、</w:t>
            </w:r>
            <w:r>
              <w:rPr>
                <w:rFonts w:hint="eastAsia" w:ascii="黑体" w:hAnsi="黑体" w:eastAsia="黑体" w:cs="黑体"/>
                <w:bCs/>
                <w:sz w:val="28"/>
                <w:szCs w:val="28"/>
                <w:lang w:val="en-US" w:eastAsia="zh-CN"/>
              </w:rPr>
              <w:t>岳阳县人民医院</w:t>
            </w:r>
            <w:r>
              <w:rPr>
                <w:rFonts w:hint="eastAsia" w:ascii="黑体" w:hAnsi="黑体" w:eastAsia="黑体" w:cs="黑体"/>
                <w:bCs/>
                <w:sz w:val="28"/>
                <w:szCs w:val="28"/>
              </w:rPr>
              <w:t>整体支出管理及使用情况</w:t>
            </w:r>
          </w:p>
          <w:p>
            <w:pPr>
              <w:spacing w:line="560" w:lineRule="exact"/>
              <w:ind w:firstLine="560" w:firstLineChars="200"/>
              <w:rPr>
                <w:rFonts w:hint="eastAsia" w:ascii="仿宋_GB2312" w:hAnsi="仿宋_GB2312" w:eastAsia="仿宋_GB2312" w:cs="仿宋_GB2312"/>
                <w:bCs/>
                <w:color w:val="auto"/>
                <w:kern w:val="2"/>
                <w:sz w:val="28"/>
                <w:szCs w:val="28"/>
                <w:lang w:val="en-US" w:eastAsia="zh-CN" w:bidi="ar-SA"/>
              </w:rPr>
            </w:pPr>
            <w:r>
              <w:rPr>
                <w:rFonts w:hint="eastAsia" w:ascii="仿宋_GB2312" w:hAnsi="仿宋_GB2312" w:eastAsia="仿宋_GB2312" w:cs="仿宋_GB2312"/>
                <w:bCs/>
                <w:color w:val="auto"/>
                <w:kern w:val="2"/>
                <w:sz w:val="28"/>
                <w:szCs w:val="28"/>
                <w:lang w:val="en-US" w:eastAsia="zh-CN" w:bidi="ar-SA"/>
              </w:rPr>
              <w:t>（一）基本支出</w:t>
            </w:r>
          </w:p>
          <w:p>
            <w:pPr>
              <w:pStyle w:val="2"/>
              <w:ind w:left="0" w:leftChars="0" w:firstLine="560" w:firstLineChars="200"/>
              <w:rPr>
                <w:rFonts w:hint="eastAsia" w:ascii="仿宋_GB2312" w:hAnsi="仿宋_GB2312" w:eastAsia="仿宋_GB2312" w:cs="仿宋_GB2312"/>
                <w:bCs/>
                <w:color w:val="auto"/>
                <w:kern w:val="2"/>
                <w:sz w:val="28"/>
                <w:szCs w:val="28"/>
                <w:lang w:val="en-US" w:eastAsia="zh-CN" w:bidi="ar-SA"/>
              </w:rPr>
            </w:pPr>
            <w:r>
              <w:rPr>
                <w:rFonts w:hint="eastAsia" w:ascii="仿宋_GB2312" w:hAnsi="仿宋_GB2312" w:eastAsia="仿宋_GB2312" w:cs="仿宋_GB2312"/>
                <w:bCs/>
                <w:color w:val="auto"/>
                <w:kern w:val="2"/>
                <w:sz w:val="28"/>
                <w:szCs w:val="28"/>
                <w:lang w:val="en-US" w:eastAsia="zh-CN" w:bidi="ar-SA"/>
              </w:rPr>
              <w:t>本年支出合计20935.55万元（不含年末结转和结余资金），其中：基本支出20266.69万元，占96.80%。其中:工资福利支出7307.44万元，占基本支出的36.06%;商品和服务支出12925.68万元，占基本支出的 63.77%;对个人和家庭补助支出33.57万元，占基本支出的0.17%;资本性支出0万元，占基本支出的0%。</w:t>
            </w:r>
          </w:p>
          <w:p>
            <w:pPr>
              <w:spacing w:line="56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（二）专项支出</w:t>
            </w:r>
          </w:p>
          <w:p>
            <w:pPr>
              <w:spacing w:line="56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1、专项资金安排落实、总投入等情况分析</w:t>
            </w:r>
          </w:p>
          <w:p>
            <w:pPr>
              <w:spacing w:line="600" w:lineRule="exact"/>
              <w:ind w:firstLine="560" w:firstLineChars="200"/>
              <w:rPr>
                <w:rFonts w:hint="eastAsia" w:eastAsia="仿宋_GB2312"/>
                <w:sz w:val="28"/>
                <w:szCs w:val="28"/>
              </w:rPr>
            </w:pPr>
            <w:r>
              <w:rPr>
                <w:rFonts w:hint="eastAsia" w:eastAsia="仿宋_GB2312"/>
                <w:sz w:val="28"/>
                <w:szCs w:val="28"/>
                <w:lang w:val="en-US" w:eastAsia="zh-CN"/>
              </w:rPr>
              <w:t>本</w:t>
            </w:r>
            <w:r>
              <w:rPr>
                <w:rFonts w:hint="eastAsia" w:eastAsia="仿宋_GB2312"/>
                <w:sz w:val="28"/>
                <w:szCs w:val="28"/>
              </w:rPr>
              <w:t>年</w:t>
            </w:r>
            <w:r>
              <w:rPr>
                <w:rFonts w:hint="eastAsia" w:eastAsia="仿宋_GB2312"/>
                <w:sz w:val="28"/>
                <w:szCs w:val="28"/>
                <w:lang w:val="en-US" w:eastAsia="zh-CN"/>
              </w:rPr>
              <w:t>岳阳县人民医院接受财政专项资金668.86</w:t>
            </w:r>
            <w:r>
              <w:rPr>
                <w:rFonts w:hint="eastAsia" w:eastAsia="仿宋_GB2312"/>
                <w:sz w:val="28"/>
                <w:szCs w:val="28"/>
              </w:rPr>
              <w:t>万元，已使用</w:t>
            </w:r>
            <w:r>
              <w:rPr>
                <w:rFonts w:hint="eastAsia" w:eastAsia="仿宋_GB2312"/>
                <w:sz w:val="28"/>
                <w:szCs w:val="28"/>
                <w:lang w:val="en-US" w:eastAsia="zh-CN"/>
              </w:rPr>
              <w:t>668.86</w:t>
            </w:r>
            <w:r>
              <w:rPr>
                <w:rFonts w:hint="eastAsia" w:eastAsia="仿宋_GB2312"/>
                <w:sz w:val="28"/>
                <w:szCs w:val="28"/>
              </w:rPr>
              <w:t>元，结余</w:t>
            </w:r>
            <w:r>
              <w:rPr>
                <w:rFonts w:hint="eastAsia" w:eastAsia="仿宋_GB2312"/>
                <w:sz w:val="28"/>
                <w:szCs w:val="28"/>
                <w:lang w:val="en-US" w:eastAsia="zh-CN"/>
              </w:rPr>
              <w:t>0</w:t>
            </w:r>
            <w:r>
              <w:rPr>
                <w:rFonts w:hint="eastAsia" w:eastAsia="仿宋_GB2312"/>
                <w:sz w:val="28"/>
                <w:szCs w:val="28"/>
              </w:rPr>
              <w:t>万元。</w:t>
            </w:r>
          </w:p>
          <w:p>
            <w:pPr>
              <w:numPr>
                <w:ilvl w:val="0"/>
                <w:numId w:val="2"/>
              </w:numPr>
              <w:spacing w:line="56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专项资金实际使用情况分析</w:t>
            </w:r>
          </w:p>
          <w:p>
            <w:pPr>
              <w:spacing w:line="600" w:lineRule="exact"/>
              <w:ind w:firstLine="560" w:firstLineChars="200"/>
              <w:rPr>
                <w:rFonts w:hint="eastAsia" w:eastAsia="仿宋_GB2312"/>
                <w:sz w:val="28"/>
                <w:szCs w:val="28"/>
                <w:lang w:val="en-US" w:eastAsia="zh-CN"/>
              </w:rPr>
            </w:pPr>
          </w:p>
          <w:p>
            <w:pPr>
              <w:spacing w:line="600" w:lineRule="exact"/>
              <w:rPr>
                <w:rFonts w:hint="eastAsia" w:eastAsia="仿宋_GB2312"/>
                <w:sz w:val="28"/>
                <w:szCs w:val="28"/>
                <w:lang w:val="en-US" w:eastAsia="zh-CN"/>
              </w:rPr>
            </w:pPr>
          </w:p>
          <w:p>
            <w:pPr>
              <w:spacing w:line="600" w:lineRule="exact"/>
              <w:ind w:firstLine="560" w:firstLineChars="200"/>
              <w:rPr>
                <w:rFonts w:hint="eastAsia" w:ascii="Tahoma" w:hAnsi="Tahoma" w:eastAsia="仿宋_GB2312" w:cstheme="minorBidi"/>
                <w:sz w:val="28"/>
                <w:szCs w:val="28"/>
                <w:lang w:eastAsia="zh-CN"/>
              </w:rPr>
            </w:pPr>
            <w:r>
              <w:rPr>
                <w:rFonts w:hint="eastAsia" w:eastAsia="仿宋_GB2312"/>
                <w:sz w:val="28"/>
                <w:szCs w:val="28"/>
                <w:lang w:val="en-US" w:eastAsia="zh-CN"/>
              </w:rPr>
              <w:t>专项</w:t>
            </w:r>
            <w:r>
              <w:rPr>
                <w:rFonts w:hint="eastAsia" w:eastAsia="仿宋_GB2312"/>
                <w:sz w:val="28"/>
                <w:szCs w:val="28"/>
              </w:rPr>
              <w:t>资金使用一览表</w:t>
            </w:r>
          </w:p>
          <w:tbl>
            <w:tblPr>
              <w:tblStyle w:val="5"/>
              <w:tblW w:w="9240"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
              <w:gridCol w:w="2180"/>
              <w:gridCol w:w="2860"/>
              <w:gridCol w:w="1080"/>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960" w:type="dxa"/>
                  <w:shd w:val="clear" w:color="auto" w:fill="auto"/>
                  <w:vAlign w:val="center"/>
                </w:tcPr>
                <w:p>
                  <w:pPr>
                    <w:adjustRightInd/>
                    <w:snapToGrid/>
                    <w:spacing w:after="0"/>
                    <w:jc w:val="center"/>
                    <w:rPr>
                      <w:rFonts w:ascii="宋体" w:hAnsi="宋体" w:eastAsia="宋体" w:cs="Arial"/>
                      <w:color w:val="000000"/>
                      <w:sz w:val="21"/>
                      <w:szCs w:val="21"/>
                    </w:rPr>
                  </w:pPr>
                  <w:r>
                    <w:rPr>
                      <w:rFonts w:hint="eastAsia" w:ascii="宋体" w:hAnsi="宋体" w:eastAsia="宋体" w:cs="Arial"/>
                      <w:color w:val="000000"/>
                      <w:sz w:val="21"/>
                      <w:szCs w:val="21"/>
                    </w:rPr>
                    <w:t>序号</w:t>
                  </w:r>
                </w:p>
              </w:tc>
              <w:tc>
                <w:tcPr>
                  <w:tcW w:w="2180" w:type="dxa"/>
                  <w:shd w:val="clear" w:color="auto" w:fill="auto"/>
                  <w:vAlign w:val="center"/>
                </w:tcPr>
                <w:p>
                  <w:pPr>
                    <w:adjustRightInd/>
                    <w:snapToGrid/>
                    <w:spacing w:after="0"/>
                    <w:jc w:val="center"/>
                    <w:rPr>
                      <w:rFonts w:ascii="宋体" w:hAnsi="宋体" w:eastAsia="宋体" w:cs="Arial"/>
                      <w:color w:val="000000"/>
                      <w:sz w:val="21"/>
                      <w:szCs w:val="21"/>
                    </w:rPr>
                  </w:pPr>
                  <w:r>
                    <w:rPr>
                      <w:rFonts w:hint="eastAsia" w:ascii="宋体" w:hAnsi="宋体" w:eastAsia="宋体" w:cs="Arial"/>
                      <w:color w:val="000000"/>
                      <w:sz w:val="21"/>
                      <w:szCs w:val="21"/>
                    </w:rPr>
                    <w:t>指标文号</w:t>
                  </w:r>
                </w:p>
              </w:tc>
              <w:tc>
                <w:tcPr>
                  <w:tcW w:w="2860" w:type="dxa"/>
                  <w:shd w:val="clear" w:color="auto" w:fill="auto"/>
                  <w:vAlign w:val="center"/>
                </w:tcPr>
                <w:p>
                  <w:pPr>
                    <w:adjustRightInd/>
                    <w:snapToGrid/>
                    <w:spacing w:after="0"/>
                    <w:jc w:val="center"/>
                    <w:rPr>
                      <w:rFonts w:ascii="宋体" w:hAnsi="宋体" w:eastAsia="宋体" w:cs="Arial"/>
                      <w:color w:val="000000"/>
                      <w:sz w:val="21"/>
                      <w:szCs w:val="21"/>
                    </w:rPr>
                  </w:pPr>
                  <w:r>
                    <w:rPr>
                      <w:rFonts w:hint="eastAsia" w:ascii="宋体" w:hAnsi="宋体" w:eastAsia="宋体" w:cs="Arial"/>
                      <w:color w:val="000000"/>
                      <w:sz w:val="21"/>
                      <w:szCs w:val="21"/>
                    </w:rPr>
                    <w:t>项目名称</w:t>
                  </w:r>
                </w:p>
              </w:tc>
              <w:tc>
                <w:tcPr>
                  <w:tcW w:w="1080" w:type="dxa"/>
                  <w:shd w:val="clear" w:color="auto" w:fill="auto"/>
                  <w:vAlign w:val="center"/>
                </w:tcPr>
                <w:p>
                  <w:pPr>
                    <w:adjustRightInd/>
                    <w:snapToGrid/>
                    <w:spacing w:after="0"/>
                    <w:jc w:val="center"/>
                    <w:rPr>
                      <w:rFonts w:ascii="宋体" w:hAnsi="宋体" w:eastAsia="宋体" w:cs="Arial"/>
                      <w:sz w:val="21"/>
                      <w:szCs w:val="21"/>
                    </w:rPr>
                  </w:pPr>
                  <w:r>
                    <w:rPr>
                      <w:rFonts w:hint="eastAsia" w:ascii="宋体" w:hAnsi="宋体" w:eastAsia="宋体" w:cs="Arial"/>
                      <w:sz w:val="21"/>
                      <w:szCs w:val="21"/>
                    </w:rPr>
                    <w:t>计划下拨资金（万元）</w:t>
                  </w:r>
                </w:p>
              </w:tc>
              <w:tc>
                <w:tcPr>
                  <w:tcW w:w="1080" w:type="dxa"/>
                  <w:shd w:val="clear" w:color="auto" w:fill="auto"/>
                  <w:vAlign w:val="center"/>
                </w:tcPr>
                <w:p>
                  <w:pPr>
                    <w:adjustRightInd/>
                    <w:snapToGrid/>
                    <w:spacing w:after="0"/>
                    <w:jc w:val="center"/>
                    <w:rPr>
                      <w:rFonts w:ascii="宋体" w:hAnsi="宋体" w:eastAsia="宋体" w:cs="Arial"/>
                      <w:sz w:val="21"/>
                      <w:szCs w:val="21"/>
                    </w:rPr>
                  </w:pPr>
                  <w:r>
                    <w:rPr>
                      <w:rFonts w:hint="eastAsia" w:ascii="宋体" w:hAnsi="宋体" w:eastAsia="宋体" w:cs="Arial"/>
                      <w:sz w:val="21"/>
                      <w:szCs w:val="21"/>
                    </w:rPr>
                    <w:t>资金使用（万元）</w:t>
                  </w:r>
                </w:p>
              </w:tc>
              <w:tc>
                <w:tcPr>
                  <w:tcW w:w="1080" w:type="dxa"/>
                  <w:shd w:val="clear" w:color="auto" w:fill="auto"/>
                  <w:noWrap/>
                  <w:vAlign w:val="center"/>
                </w:tcPr>
                <w:p>
                  <w:pPr>
                    <w:adjustRightInd/>
                    <w:snapToGrid/>
                    <w:spacing w:after="0"/>
                    <w:jc w:val="center"/>
                    <w:rPr>
                      <w:rFonts w:ascii="宋体" w:hAnsi="宋体" w:eastAsia="宋体" w:cs="Arial"/>
                      <w:sz w:val="21"/>
                      <w:szCs w:val="21"/>
                    </w:rPr>
                  </w:pPr>
                  <w:r>
                    <w:rPr>
                      <w:rFonts w:hint="eastAsia" w:ascii="宋体" w:hAnsi="宋体" w:eastAsia="宋体" w:cs="Arial"/>
                      <w:sz w:val="21"/>
                      <w:szCs w:val="21"/>
                    </w:rPr>
                    <w:t>资金使用率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atLeast"/>
              </w:trPr>
              <w:tc>
                <w:tcPr>
                  <w:tcW w:w="960" w:type="dxa"/>
                  <w:shd w:val="clear" w:color="auto" w:fill="auto"/>
                  <w:vAlign w:val="center"/>
                </w:tcPr>
                <w:p>
                  <w:pPr>
                    <w:adjustRightInd/>
                    <w:snapToGrid/>
                    <w:spacing w:after="0"/>
                    <w:jc w:val="center"/>
                    <w:rPr>
                      <w:rFonts w:hint="eastAsia" w:ascii="宋体" w:hAnsi="宋体" w:eastAsia="宋体" w:cs="Arial"/>
                      <w:color w:val="000000"/>
                      <w:sz w:val="21"/>
                      <w:szCs w:val="21"/>
                      <w:lang w:eastAsia="zh-CN"/>
                    </w:rPr>
                  </w:pPr>
                  <w:r>
                    <w:rPr>
                      <w:rFonts w:hint="eastAsia" w:ascii="宋体" w:hAnsi="宋体" w:cs="Arial"/>
                      <w:color w:val="000000"/>
                      <w:sz w:val="21"/>
                      <w:szCs w:val="21"/>
                      <w:lang w:val="en-US" w:eastAsia="zh-CN"/>
                    </w:rPr>
                    <w:t>1</w:t>
                  </w:r>
                </w:p>
              </w:tc>
              <w:tc>
                <w:tcPr>
                  <w:tcW w:w="2180" w:type="dxa"/>
                  <w:shd w:val="clear" w:color="auto" w:fill="auto"/>
                  <w:vAlign w:val="center"/>
                </w:tcPr>
                <w:p>
                  <w:pPr>
                    <w:adjustRightInd/>
                    <w:snapToGrid/>
                    <w:spacing w:after="0"/>
                    <w:jc w:val="center"/>
                    <w:rPr>
                      <w:rFonts w:ascii="宋体" w:hAnsi="宋体" w:eastAsia="宋体" w:cs="Arial"/>
                      <w:color w:val="000000"/>
                      <w:sz w:val="21"/>
                      <w:szCs w:val="21"/>
                    </w:rPr>
                  </w:pPr>
                  <w:r>
                    <w:rPr>
                      <w:rFonts w:hint="eastAsia" w:ascii="宋体" w:hAnsi="宋体" w:eastAsia="宋体" w:cs="Arial"/>
                      <w:color w:val="000000"/>
                      <w:sz w:val="21"/>
                      <w:szCs w:val="21"/>
                    </w:rPr>
                    <w:t>国家卫生和计划生育委员会令第3号</w:t>
                  </w:r>
                </w:p>
              </w:tc>
              <w:tc>
                <w:tcPr>
                  <w:tcW w:w="2860" w:type="dxa"/>
                  <w:shd w:val="clear" w:color="auto" w:fill="auto"/>
                  <w:vAlign w:val="center"/>
                </w:tcPr>
                <w:p>
                  <w:pPr>
                    <w:adjustRightInd/>
                    <w:snapToGrid/>
                    <w:spacing w:after="0"/>
                    <w:rPr>
                      <w:rFonts w:ascii="宋体" w:hAnsi="宋体" w:eastAsia="宋体" w:cs="Arial"/>
                      <w:color w:val="000000"/>
                      <w:sz w:val="21"/>
                      <w:szCs w:val="21"/>
                    </w:rPr>
                  </w:pPr>
                  <w:r>
                    <w:rPr>
                      <w:rFonts w:hint="eastAsia" w:ascii="宋体" w:hAnsi="宋体" w:cs="Arial"/>
                      <w:color w:val="000000"/>
                      <w:sz w:val="21"/>
                      <w:szCs w:val="21"/>
                      <w:lang w:val="en-US" w:eastAsia="zh-CN"/>
                    </w:rPr>
                    <w:t>2021年省补助基层医疗服务能力提升（公立医院眼耳鼻咽喉与消化内镜检查能力）项目经费</w:t>
                  </w:r>
                </w:p>
              </w:tc>
              <w:tc>
                <w:tcPr>
                  <w:tcW w:w="1080" w:type="dxa"/>
                  <w:shd w:val="clear" w:color="auto" w:fill="auto"/>
                  <w:noWrap/>
                  <w:vAlign w:val="center"/>
                </w:tcPr>
                <w:p>
                  <w:pPr>
                    <w:adjustRightInd/>
                    <w:snapToGrid/>
                    <w:spacing w:after="0"/>
                    <w:jc w:val="center"/>
                    <w:rPr>
                      <w:rFonts w:hint="default" w:ascii="Arial" w:hAnsi="Arial" w:eastAsia="宋体" w:cs="Arial"/>
                      <w:sz w:val="21"/>
                      <w:szCs w:val="21"/>
                      <w:lang w:val="en-US" w:eastAsia="zh-CN"/>
                    </w:rPr>
                  </w:pPr>
                  <w:r>
                    <w:rPr>
                      <w:rFonts w:hint="eastAsia" w:ascii="Arial" w:hAnsi="Arial" w:cs="Arial"/>
                      <w:sz w:val="21"/>
                      <w:szCs w:val="21"/>
                      <w:lang w:val="en-US" w:eastAsia="zh-CN"/>
                    </w:rPr>
                    <w:t>35</w:t>
                  </w:r>
                </w:p>
              </w:tc>
              <w:tc>
                <w:tcPr>
                  <w:tcW w:w="1080" w:type="dxa"/>
                  <w:shd w:val="clear" w:color="auto" w:fill="auto"/>
                  <w:noWrap/>
                  <w:vAlign w:val="center"/>
                </w:tcPr>
                <w:p>
                  <w:pPr>
                    <w:adjustRightInd/>
                    <w:snapToGrid/>
                    <w:spacing w:after="0"/>
                    <w:jc w:val="center"/>
                    <w:rPr>
                      <w:rFonts w:hint="default" w:ascii="Arial" w:hAnsi="Arial" w:eastAsia="宋体" w:cs="Arial"/>
                      <w:sz w:val="21"/>
                      <w:szCs w:val="21"/>
                      <w:lang w:val="en-US" w:eastAsia="zh-CN"/>
                    </w:rPr>
                  </w:pPr>
                  <w:r>
                    <w:rPr>
                      <w:rFonts w:hint="eastAsia" w:ascii="Arial" w:hAnsi="Arial" w:cs="Arial"/>
                      <w:sz w:val="21"/>
                      <w:szCs w:val="21"/>
                      <w:lang w:val="en-US" w:eastAsia="zh-CN"/>
                    </w:rPr>
                    <w:t>35</w:t>
                  </w:r>
                </w:p>
              </w:tc>
              <w:tc>
                <w:tcPr>
                  <w:tcW w:w="1080" w:type="dxa"/>
                  <w:shd w:val="clear" w:color="auto" w:fill="auto"/>
                  <w:noWrap/>
                  <w:vAlign w:val="center"/>
                </w:tcPr>
                <w:p>
                  <w:pPr>
                    <w:adjustRightInd/>
                    <w:snapToGrid/>
                    <w:spacing w:after="0"/>
                    <w:jc w:val="center"/>
                    <w:rPr>
                      <w:rFonts w:ascii="Arial" w:hAnsi="Arial" w:eastAsia="宋体" w:cs="Arial"/>
                      <w:sz w:val="21"/>
                      <w:szCs w:val="21"/>
                    </w:rPr>
                  </w:pPr>
                  <w:r>
                    <w:rPr>
                      <w:rFonts w:hint="eastAsia" w:ascii="Arial" w:hAnsi="Arial" w:cs="Arial"/>
                      <w:sz w:val="21"/>
                      <w:szCs w:val="21"/>
                      <w:lang w:val="en-US" w:eastAsia="zh-CN"/>
                    </w:rPr>
                    <w:t>100</w:t>
                  </w:r>
                  <w:r>
                    <w:rPr>
                      <w:rFonts w:ascii="Arial" w:hAnsi="Arial" w:eastAsia="宋体" w:cs="Arial"/>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atLeast"/>
              </w:trPr>
              <w:tc>
                <w:tcPr>
                  <w:tcW w:w="960" w:type="dxa"/>
                  <w:shd w:val="clear" w:color="auto" w:fill="auto"/>
                  <w:vAlign w:val="center"/>
                </w:tcPr>
                <w:p>
                  <w:pPr>
                    <w:adjustRightInd/>
                    <w:snapToGrid/>
                    <w:spacing w:after="0"/>
                    <w:jc w:val="center"/>
                    <w:rPr>
                      <w:rFonts w:hint="eastAsia" w:ascii="宋体" w:hAnsi="宋体" w:eastAsia="宋体" w:cs="Arial"/>
                      <w:color w:val="000000"/>
                      <w:sz w:val="21"/>
                      <w:szCs w:val="21"/>
                      <w:lang w:val="en-US" w:eastAsia="zh-CN"/>
                    </w:rPr>
                  </w:pPr>
                  <w:r>
                    <w:rPr>
                      <w:rFonts w:hint="eastAsia" w:ascii="宋体" w:hAnsi="宋体" w:cs="Arial"/>
                      <w:color w:val="000000"/>
                      <w:sz w:val="21"/>
                      <w:szCs w:val="21"/>
                      <w:lang w:val="en-US" w:eastAsia="zh-CN"/>
                    </w:rPr>
                    <w:t>2</w:t>
                  </w:r>
                </w:p>
              </w:tc>
              <w:tc>
                <w:tcPr>
                  <w:tcW w:w="2180"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3F3F3F"/>
                      <w:kern w:val="2"/>
                      <w:sz w:val="18"/>
                      <w:szCs w:val="18"/>
                      <w:u w:val="none"/>
                      <w:lang w:val="en-US" w:eastAsia="zh-CN" w:bidi="ar-SA"/>
                    </w:rPr>
                  </w:pPr>
                  <w:r>
                    <w:rPr>
                      <w:rFonts w:hint="eastAsia" w:ascii="宋体" w:hAnsi="宋体" w:eastAsia="宋体" w:cs="Arial"/>
                      <w:color w:val="000000"/>
                      <w:sz w:val="21"/>
                      <w:szCs w:val="21"/>
                      <w:lang w:val="en-US" w:eastAsia="zh-CN"/>
                    </w:rPr>
                    <w:t>县20210206</w:t>
                  </w:r>
                </w:p>
              </w:tc>
              <w:tc>
                <w:tcPr>
                  <w:tcW w:w="2860" w:type="dxa"/>
                  <w:shd w:val="clear" w:color="auto" w:fill="auto"/>
                  <w:vAlign w:val="center"/>
                </w:tcPr>
                <w:p>
                  <w:pPr>
                    <w:adjustRightInd/>
                    <w:snapToGrid/>
                    <w:spacing w:after="0"/>
                    <w:rPr>
                      <w:rFonts w:hint="eastAsia" w:ascii="宋体" w:hAnsi="宋体" w:eastAsia="宋体" w:cs="Arial"/>
                      <w:color w:val="000000"/>
                      <w:sz w:val="21"/>
                      <w:szCs w:val="21"/>
                    </w:rPr>
                  </w:pPr>
                  <w:r>
                    <w:rPr>
                      <w:rFonts w:hint="eastAsia" w:ascii="宋体" w:hAnsi="宋体" w:eastAsia="宋体" w:cs="Arial"/>
                      <w:color w:val="000000"/>
                      <w:sz w:val="21"/>
                      <w:szCs w:val="21"/>
                    </w:rPr>
                    <w:t>收卫生局拨付新冠肺炎期间人员补助</w:t>
                  </w:r>
                </w:p>
              </w:tc>
              <w:tc>
                <w:tcPr>
                  <w:tcW w:w="1080" w:type="dxa"/>
                  <w:shd w:val="clear" w:color="auto" w:fill="auto"/>
                  <w:noWrap/>
                  <w:vAlign w:val="center"/>
                </w:tcPr>
                <w:p>
                  <w:pPr>
                    <w:adjustRightInd/>
                    <w:snapToGrid/>
                    <w:spacing w:after="0"/>
                    <w:jc w:val="center"/>
                    <w:rPr>
                      <w:rFonts w:hint="default" w:ascii="Arial" w:hAnsi="Arial" w:eastAsia="宋体" w:cs="Arial"/>
                      <w:sz w:val="21"/>
                      <w:szCs w:val="21"/>
                      <w:lang w:val="en-US" w:eastAsia="zh-CN"/>
                    </w:rPr>
                  </w:pPr>
                  <w:r>
                    <w:rPr>
                      <w:rFonts w:hint="eastAsia" w:ascii="Arial" w:hAnsi="Arial" w:cs="Arial"/>
                      <w:sz w:val="21"/>
                      <w:szCs w:val="21"/>
                      <w:lang w:val="en-US" w:eastAsia="zh-CN"/>
                    </w:rPr>
                    <w:t>50</w:t>
                  </w:r>
                </w:p>
              </w:tc>
              <w:tc>
                <w:tcPr>
                  <w:tcW w:w="1080" w:type="dxa"/>
                  <w:shd w:val="clear" w:color="auto" w:fill="auto"/>
                  <w:noWrap/>
                  <w:vAlign w:val="center"/>
                </w:tcPr>
                <w:p>
                  <w:pPr>
                    <w:adjustRightInd/>
                    <w:snapToGrid/>
                    <w:spacing w:after="0"/>
                    <w:jc w:val="center"/>
                    <w:rPr>
                      <w:rFonts w:hint="default" w:ascii="Arial" w:hAnsi="Arial" w:cs="Arial"/>
                      <w:sz w:val="21"/>
                      <w:szCs w:val="21"/>
                      <w:lang w:val="en-US" w:eastAsia="zh-CN"/>
                    </w:rPr>
                  </w:pPr>
                  <w:r>
                    <w:rPr>
                      <w:rFonts w:hint="eastAsia" w:ascii="Arial" w:hAnsi="Arial" w:cs="Arial"/>
                      <w:sz w:val="21"/>
                      <w:szCs w:val="21"/>
                      <w:lang w:val="en-US" w:eastAsia="zh-CN"/>
                    </w:rPr>
                    <w:t>50</w:t>
                  </w:r>
                </w:p>
              </w:tc>
              <w:tc>
                <w:tcPr>
                  <w:tcW w:w="1080" w:type="dxa"/>
                  <w:shd w:val="clear" w:color="auto" w:fill="auto"/>
                  <w:noWrap/>
                  <w:vAlign w:val="center"/>
                </w:tcPr>
                <w:p>
                  <w:pPr>
                    <w:adjustRightInd/>
                    <w:snapToGrid/>
                    <w:spacing w:after="0"/>
                    <w:jc w:val="center"/>
                    <w:rPr>
                      <w:rFonts w:hint="eastAsia" w:ascii="Arial" w:hAnsi="Arial" w:cs="Arial"/>
                      <w:sz w:val="21"/>
                      <w:szCs w:val="21"/>
                      <w:lang w:val="en-US" w:eastAsia="zh-CN"/>
                    </w:rPr>
                  </w:pPr>
                  <w:r>
                    <w:rPr>
                      <w:rFonts w:hint="eastAsia" w:ascii="Arial" w:hAnsi="Arial" w:cs="Arial"/>
                      <w:sz w:val="21"/>
                      <w:szCs w:val="21"/>
                      <w:lang w:val="en-US" w:eastAsia="zh-CN"/>
                    </w:rPr>
                    <w:t>100</w:t>
                  </w:r>
                  <w:r>
                    <w:rPr>
                      <w:rFonts w:ascii="Arial" w:hAnsi="Arial" w:eastAsia="宋体" w:cs="Arial"/>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atLeast"/>
              </w:trPr>
              <w:tc>
                <w:tcPr>
                  <w:tcW w:w="960" w:type="dxa"/>
                  <w:shd w:val="clear" w:color="auto" w:fill="auto"/>
                  <w:vAlign w:val="center"/>
                </w:tcPr>
                <w:p>
                  <w:pPr>
                    <w:adjustRightInd/>
                    <w:snapToGrid/>
                    <w:spacing w:after="0"/>
                    <w:jc w:val="center"/>
                    <w:rPr>
                      <w:rFonts w:hint="eastAsia" w:ascii="宋体" w:hAnsi="宋体" w:eastAsia="宋体" w:cs="Arial"/>
                      <w:color w:val="000000"/>
                      <w:sz w:val="21"/>
                      <w:szCs w:val="21"/>
                      <w:lang w:val="en-US" w:eastAsia="zh-CN"/>
                    </w:rPr>
                  </w:pPr>
                  <w:r>
                    <w:rPr>
                      <w:rFonts w:hint="eastAsia" w:ascii="宋体" w:hAnsi="宋体" w:cs="Arial"/>
                      <w:color w:val="000000"/>
                      <w:sz w:val="21"/>
                      <w:szCs w:val="21"/>
                      <w:lang w:val="en-US" w:eastAsia="zh-CN"/>
                    </w:rPr>
                    <w:t>3</w:t>
                  </w:r>
                </w:p>
              </w:tc>
              <w:tc>
                <w:tcPr>
                  <w:tcW w:w="2180" w:type="dxa"/>
                  <w:shd w:val="clear" w:color="auto" w:fill="auto"/>
                  <w:vAlign w:val="center"/>
                </w:tcPr>
                <w:p>
                  <w:pPr>
                    <w:adjustRightInd/>
                    <w:snapToGrid/>
                    <w:spacing w:after="0"/>
                    <w:jc w:val="center"/>
                    <w:rPr>
                      <w:rFonts w:hint="eastAsia" w:ascii="宋体" w:hAnsi="宋体" w:eastAsia="宋体" w:cs="Arial"/>
                      <w:color w:val="000000"/>
                      <w:sz w:val="21"/>
                      <w:szCs w:val="21"/>
                    </w:rPr>
                  </w:pPr>
                  <w:r>
                    <w:rPr>
                      <w:rFonts w:hint="eastAsia" w:ascii="宋体" w:hAnsi="宋体" w:eastAsia="宋体" w:cs="Arial"/>
                      <w:color w:val="000000"/>
                      <w:sz w:val="21"/>
                      <w:szCs w:val="21"/>
                    </w:rPr>
                    <w:t>岳县财支〔2022〕1086号</w:t>
                  </w:r>
                </w:p>
              </w:tc>
              <w:tc>
                <w:tcPr>
                  <w:tcW w:w="2860" w:type="dxa"/>
                  <w:shd w:val="clear" w:color="auto" w:fill="auto"/>
                  <w:vAlign w:val="center"/>
                </w:tcPr>
                <w:p>
                  <w:pPr>
                    <w:adjustRightInd/>
                    <w:snapToGrid/>
                    <w:spacing w:after="0"/>
                    <w:rPr>
                      <w:rFonts w:hint="eastAsia" w:ascii="宋体" w:hAnsi="宋体" w:eastAsia="宋体" w:cs="Arial"/>
                      <w:color w:val="000000"/>
                      <w:sz w:val="21"/>
                      <w:szCs w:val="21"/>
                    </w:rPr>
                  </w:pPr>
                  <w:r>
                    <w:rPr>
                      <w:rFonts w:hint="eastAsia" w:ascii="宋体" w:hAnsi="宋体" w:eastAsia="宋体" w:cs="Arial"/>
                      <w:color w:val="000000"/>
                      <w:sz w:val="21"/>
                      <w:szCs w:val="21"/>
                    </w:rPr>
                    <w:t>收卫生局付基层医疗服务能力提升项目资金</w:t>
                  </w:r>
                </w:p>
              </w:tc>
              <w:tc>
                <w:tcPr>
                  <w:tcW w:w="1080" w:type="dxa"/>
                  <w:shd w:val="clear" w:color="auto" w:fill="auto"/>
                  <w:noWrap/>
                  <w:vAlign w:val="center"/>
                </w:tcPr>
                <w:p>
                  <w:pPr>
                    <w:adjustRightInd/>
                    <w:snapToGrid/>
                    <w:spacing w:after="0"/>
                    <w:jc w:val="center"/>
                    <w:rPr>
                      <w:rFonts w:hint="default" w:ascii="Arial" w:hAnsi="Arial" w:eastAsia="宋体" w:cs="Arial"/>
                      <w:sz w:val="21"/>
                      <w:szCs w:val="21"/>
                      <w:lang w:val="en-US" w:eastAsia="zh-CN"/>
                    </w:rPr>
                  </w:pPr>
                  <w:r>
                    <w:rPr>
                      <w:rFonts w:hint="eastAsia" w:ascii="Arial" w:hAnsi="Arial" w:cs="Arial"/>
                      <w:sz w:val="21"/>
                      <w:szCs w:val="21"/>
                      <w:lang w:val="en-US" w:eastAsia="zh-CN"/>
                    </w:rPr>
                    <w:t>90</w:t>
                  </w:r>
                </w:p>
              </w:tc>
              <w:tc>
                <w:tcPr>
                  <w:tcW w:w="1080" w:type="dxa"/>
                  <w:shd w:val="clear" w:color="auto" w:fill="auto"/>
                  <w:noWrap/>
                  <w:vAlign w:val="center"/>
                </w:tcPr>
                <w:p>
                  <w:pPr>
                    <w:adjustRightInd/>
                    <w:snapToGrid/>
                    <w:spacing w:after="0"/>
                    <w:jc w:val="center"/>
                    <w:rPr>
                      <w:rFonts w:hint="default" w:ascii="Arial" w:hAnsi="Arial" w:cs="Arial"/>
                      <w:sz w:val="21"/>
                      <w:szCs w:val="21"/>
                      <w:lang w:val="en-US" w:eastAsia="zh-CN"/>
                    </w:rPr>
                  </w:pPr>
                  <w:r>
                    <w:rPr>
                      <w:rFonts w:hint="eastAsia" w:ascii="Arial" w:hAnsi="Arial" w:cs="Arial"/>
                      <w:sz w:val="21"/>
                      <w:szCs w:val="21"/>
                      <w:lang w:val="en-US" w:eastAsia="zh-CN"/>
                    </w:rPr>
                    <w:t>90</w:t>
                  </w:r>
                </w:p>
              </w:tc>
              <w:tc>
                <w:tcPr>
                  <w:tcW w:w="1080" w:type="dxa"/>
                  <w:shd w:val="clear" w:color="auto" w:fill="auto"/>
                  <w:noWrap/>
                  <w:vAlign w:val="center"/>
                </w:tcPr>
                <w:p>
                  <w:pPr>
                    <w:adjustRightInd/>
                    <w:snapToGrid/>
                    <w:spacing w:after="0"/>
                    <w:jc w:val="center"/>
                    <w:rPr>
                      <w:rFonts w:hint="eastAsia" w:ascii="Arial" w:hAnsi="Arial" w:cs="Arial"/>
                      <w:sz w:val="21"/>
                      <w:szCs w:val="21"/>
                      <w:lang w:val="en-US" w:eastAsia="zh-CN"/>
                    </w:rPr>
                  </w:pPr>
                  <w:r>
                    <w:rPr>
                      <w:rFonts w:hint="eastAsia" w:ascii="Arial" w:hAnsi="Arial" w:cs="Arial"/>
                      <w:sz w:val="21"/>
                      <w:szCs w:val="21"/>
                      <w:lang w:val="en-US" w:eastAsia="zh-CN"/>
                    </w:rPr>
                    <w:t>100</w:t>
                  </w:r>
                  <w:r>
                    <w:rPr>
                      <w:rFonts w:ascii="Arial" w:hAnsi="Arial" w:eastAsia="宋体" w:cs="Arial"/>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atLeast"/>
              </w:trPr>
              <w:tc>
                <w:tcPr>
                  <w:tcW w:w="960" w:type="dxa"/>
                  <w:shd w:val="clear" w:color="auto" w:fill="auto"/>
                  <w:vAlign w:val="center"/>
                </w:tcPr>
                <w:p>
                  <w:pPr>
                    <w:adjustRightInd/>
                    <w:snapToGrid/>
                    <w:spacing w:after="0"/>
                    <w:jc w:val="center"/>
                    <w:rPr>
                      <w:rFonts w:hint="eastAsia" w:ascii="宋体" w:hAnsi="宋体" w:eastAsia="宋体" w:cs="Arial"/>
                      <w:color w:val="000000"/>
                      <w:sz w:val="21"/>
                      <w:szCs w:val="21"/>
                      <w:lang w:val="en-US" w:eastAsia="zh-CN"/>
                    </w:rPr>
                  </w:pPr>
                  <w:r>
                    <w:rPr>
                      <w:rFonts w:hint="eastAsia" w:ascii="宋体" w:hAnsi="宋体" w:cs="Arial"/>
                      <w:color w:val="000000"/>
                      <w:sz w:val="21"/>
                      <w:szCs w:val="21"/>
                      <w:lang w:val="en-US" w:eastAsia="zh-CN"/>
                    </w:rPr>
                    <w:t>4</w:t>
                  </w:r>
                </w:p>
              </w:tc>
              <w:tc>
                <w:tcPr>
                  <w:tcW w:w="2180" w:type="dxa"/>
                  <w:shd w:val="clear" w:color="auto" w:fill="auto"/>
                  <w:vAlign w:val="center"/>
                </w:tcPr>
                <w:p>
                  <w:pPr>
                    <w:adjustRightInd/>
                    <w:snapToGrid/>
                    <w:spacing w:after="0"/>
                    <w:jc w:val="center"/>
                    <w:rPr>
                      <w:rFonts w:hint="eastAsia" w:ascii="宋体" w:hAnsi="宋体" w:eastAsia="宋体" w:cs="Arial"/>
                      <w:color w:val="000000"/>
                      <w:sz w:val="21"/>
                      <w:szCs w:val="21"/>
                      <w:lang w:val="en-US" w:eastAsia="zh-CN"/>
                    </w:rPr>
                  </w:pPr>
                  <w:r>
                    <w:rPr>
                      <w:rFonts w:hint="eastAsia" w:ascii="宋体" w:hAnsi="宋体" w:eastAsia="宋体" w:cs="Arial"/>
                      <w:color w:val="000000"/>
                      <w:sz w:val="21"/>
                      <w:szCs w:val="21"/>
                      <w:lang w:val="en-US" w:eastAsia="zh-CN"/>
                    </w:rPr>
                    <w:t>岳县财预〔2022〕0109号</w:t>
                  </w:r>
                </w:p>
              </w:tc>
              <w:tc>
                <w:tcPr>
                  <w:tcW w:w="2860" w:type="dxa"/>
                  <w:shd w:val="clear" w:color="auto" w:fill="auto"/>
                  <w:vAlign w:val="center"/>
                </w:tcPr>
                <w:p>
                  <w:pPr>
                    <w:adjustRightInd/>
                    <w:snapToGrid/>
                    <w:spacing w:after="0"/>
                    <w:rPr>
                      <w:rFonts w:hint="eastAsia" w:ascii="宋体" w:hAnsi="宋体" w:eastAsia="宋体" w:cs="Arial"/>
                      <w:color w:val="000000"/>
                      <w:sz w:val="21"/>
                      <w:szCs w:val="21"/>
                    </w:rPr>
                  </w:pPr>
                  <w:r>
                    <w:rPr>
                      <w:rFonts w:hint="eastAsia" w:ascii="宋体" w:hAnsi="宋体" w:eastAsia="宋体" w:cs="Arial"/>
                      <w:color w:val="000000"/>
                      <w:sz w:val="21"/>
                      <w:szCs w:val="21"/>
                    </w:rPr>
                    <w:t>公共卫生专项（采购改造重症救治病床配套设备经费）</w:t>
                  </w:r>
                </w:p>
              </w:tc>
              <w:tc>
                <w:tcPr>
                  <w:tcW w:w="1080" w:type="dxa"/>
                  <w:shd w:val="clear" w:color="auto" w:fill="auto"/>
                  <w:noWrap/>
                  <w:vAlign w:val="center"/>
                </w:tcPr>
                <w:p>
                  <w:pPr>
                    <w:adjustRightInd/>
                    <w:snapToGrid/>
                    <w:spacing w:after="0"/>
                    <w:jc w:val="center"/>
                    <w:rPr>
                      <w:rFonts w:hint="default" w:ascii="Arial" w:hAnsi="Arial" w:eastAsia="宋体" w:cs="Arial"/>
                      <w:sz w:val="21"/>
                      <w:szCs w:val="21"/>
                      <w:lang w:val="en-US" w:eastAsia="zh-CN"/>
                    </w:rPr>
                  </w:pPr>
                  <w:r>
                    <w:rPr>
                      <w:rFonts w:hint="eastAsia" w:ascii="Arial" w:hAnsi="Arial" w:cs="Arial"/>
                      <w:sz w:val="21"/>
                      <w:szCs w:val="21"/>
                      <w:lang w:val="en-US" w:eastAsia="zh-CN"/>
                    </w:rPr>
                    <w:t>198</w:t>
                  </w:r>
                </w:p>
              </w:tc>
              <w:tc>
                <w:tcPr>
                  <w:tcW w:w="1080" w:type="dxa"/>
                  <w:shd w:val="clear" w:color="auto" w:fill="auto"/>
                  <w:noWrap/>
                  <w:vAlign w:val="center"/>
                </w:tcPr>
                <w:p>
                  <w:pPr>
                    <w:adjustRightInd/>
                    <w:snapToGrid/>
                    <w:spacing w:after="0"/>
                    <w:jc w:val="center"/>
                    <w:rPr>
                      <w:rFonts w:hint="default" w:ascii="Arial" w:hAnsi="Arial" w:cs="Arial"/>
                      <w:sz w:val="21"/>
                      <w:szCs w:val="21"/>
                      <w:lang w:val="en-US" w:eastAsia="zh-CN"/>
                    </w:rPr>
                  </w:pPr>
                  <w:r>
                    <w:rPr>
                      <w:rFonts w:hint="eastAsia" w:ascii="Arial" w:hAnsi="Arial" w:cs="Arial"/>
                      <w:sz w:val="21"/>
                      <w:szCs w:val="21"/>
                      <w:lang w:val="en-US" w:eastAsia="zh-CN"/>
                    </w:rPr>
                    <w:t>198</w:t>
                  </w:r>
                </w:p>
              </w:tc>
              <w:tc>
                <w:tcPr>
                  <w:tcW w:w="1080" w:type="dxa"/>
                  <w:shd w:val="clear" w:color="auto" w:fill="auto"/>
                  <w:noWrap/>
                  <w:vAlign w:val="center"/>
                </w:tcPr>
                <w:p>
                  <w:pPr>
                    <w:adjustRightInd/>
                    <w:snapToGrid/>
                    <w:spacing w:after="0"/>
                    <w:jc w:val="center"/>
                    <w:rPr>
                      <w:rFonts w:hint="eastAsia" w:ascii="Arial" w:hAnsi="Arial" w:cs="Arial"/>
                      <w:sz w:val="21"/>
                      <w:szCs w:val="21"/>
                      <w:lang w:val="en-US" w:eastAsia="zh-CN"/>
                    </w:rPr>
                  </w:pPr>
                  <w:r>
                    <w:rPr>
                      <w:rFonts w:hint="eastAsia" w:ascii="Arial" w:hAnsi="Arial" w:cs="Arial"/>
                      <w:sz w:val="21"/>
                      <w:szCs w:val="21"/>
                      <w:lang w:val="en-US" w:eastAsia="zh-CN"/>
                    </w:rPr>
                    <w:t>100</w:t>
                  </w:r>
                  <w:r>
                    <w:rPr>
                      <w:rFonts w:ascii="Arial" w:hAnsi="Arial" w:eastAsia="宋体" w:cs="Arial"/>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atLeast"/>
              </w:trPr>
              <w:tc>
                <w:tcPr>
                  <w:tcW w:w="960" w:type="dxa"/>
                  <w:shd w:val="clear" w:color="auto" w:fill="auto"/>
                  <w:vAlign w:val="center"/>
                </w:tcPr>
                <w:p>
                  <w:pPr>
                    <w:adjustRightInd/>
                    <w:snapToGrid/>
                    <w:spacing w:after="0"/>
                    <w:jc w:val="center"/>
                    <w:rPr>
                      <w:rFonts w:hint="eastAsia" w:ascii="宋体" w:hAnsi="宋体" w:eastAsia="宋体" w:cs="Arial"/>
                      <w:color w:val="000000"/>
                      <w:sz w:val="21"/>
                      <w:szCs w:val="21"/>
                      <w:lang w:val="en-US" w:eastAsia="zh-CN"/>
                    </w:rPr>
                  </w:pPr>
                  <w:r>
                    <w:rPr>
                      <w:rFonts w:hint="eastAsia" w:ascii="宋体" w:hAnsi="宋体" w:cs="Arial"/>
                      <w:color w:val="000000"/>
                      <w:sz w:val="21"/>
                      <w:szCs w:val="21"/>
                      <w:lang w:val="en-US" w:eastAsia="zh-CN"/>
                    </w:rPr>
                    <w:t>5</w:t>
                  </w:r>
                </w:p>
              </w:tc>
              <w:tc>
                <w:tcPr>
                  <w:tcW w:w="2180" w:type="dxa"/>
                  <w:shd w:val="clear" w:color="auto" w:fill="auto"/>
                  <w:vAlign w:val="center"/>
                </w:tcPr>
                <w:p>
                  <w:pPr>
                    <w:adjustRightInd/>
                    <w:snapToGrid/>
                    <w:spacing w:after="0"/>
                    <w:jc w:val="center"/>
                    <w:rPr>
                      <w:rFonts w:hint="eastAsia" w:ascii="宋体" w:hAnsi="宋体" w:eastAsia="宋体" w:cs="Arial"/>
                      <w:color w:val="000000"/>
                      <w:sz w:val="21"/>
                      <w:szCs w:val="21"/>
                    </w:rPr>
                  </w:pPr>
                  <w:r>
                    <w:rPr>
                      <w:rFonts w:hint="eastAsia" w:ascii="宋体" w:hAnsi="宋体" w:eastAsia="宋体" w:cs="Arial"/>
                      <w:color w:val="000000"/>
                      <w:sz w:val="21"/>
                      <w:szCs w:val="21"/>
                    </w:rPr>
                    <w:t>岳县财预〔2022〕0109号</w:t>
                  </w:r>
                </w:p>
              </w:tc>
              <w:tc>
                <w:tcPr>
                  <w:tcW w:w="2860" w:type="dxa"/>
                  <w:shd w:val="clear" w:color="auto" w:fill="auto"/>
                  <w:vAlign w:val="center"/>
                </w:tcPr>
                <w:p>
                  <w:pPr>
                    <w:adjustRightInd/>
                    <w:snapToGrid/>
                    <w:spacing w:after="0"/>
                    <w:rPr>
                      <w:rFonts w:hint="eastAsia" w:ascii="宋体" w:hAnsi="宋体" w:eastAsia="宋体" w:cs="Arial"/>
                      <w:color w:val="000000"/>
                      <w:sz w:val="21"/>
                      <w:szCs w:val="21"/>
                    </w:rPr>
                  </w:pPr>
                  <w:r>
                    <w:rPr>
                      <w:rFonts w:hint="eastAsia" w:ascii="宋体" w:hAnsi="宋体" w:eastAsia="宋体" w:cs="Arial"/>
                      <w:color w:val="000000"/>
                      <w:sz w:val="21"/>
                      <w:szCs w:val="21"/>
                    </w:rPr>
                    <w:t>公共卫生专项（采购储备治疗新冠药品经费）</w:t>
                  </w:r>
                </w:p>
              </w:tc>
              <w:tc>
                <w:tcPr>
                  <w:tcW w:w="1080" w:type="dxa"/>
                  <w:shd w:val="clear" w:color="auto" w:fill="auto"/>
                  <w:noWrap/>
                  <w:vAlign w:val="center"/>
                </w:tcPr>
                <w:p>
                  <w:pPr>
                    <w:adjustRightInd/>
                    <w:snapToGrid/>
                    <w:spacing w:after="0"/>
                    <w:jc w:val="center"/>
                    <w:rPr>
                      <w:rFonts w:hint="default" w:ascii="Arial" w:hAnsi="Arial" w:cs="Arial"/>
                      <w:sz w:val="21"/>
                      <w:szCs w:val="21"/>
                      <w:lang w:val="en-US" w:eastAsia="zh-CN"/>
                    </w:rPr>
                  </w:pPr>
                  <w:r>
                    <w:rPr>
                      <w:rFonts w:hint="eastAsia" w:ascii="Arial" w:hAnsi="Arial" w:cs="Arial"/>
                      <w:sz w:val="21"/>
                      <w:szCs w:val="21"/>
                      <w:lang w:val="en-US" w:eastAsia="zh-CN"/>
                    </w:rPr>
                    <w:t>168</w:t>
                  </w:r>
                </w:p>
              </w:tc>
              <w:tc>
                <w:tcPr>
                  <w:tcW w:w="1080" w:type="dxa"/>
                  <w:shd w:val="clear" w:color="auto" w:fill="auto"/>
                  <w:noWrap/>
                  <w:vAlign w:val="center"/>
                </w:tcPr>
                <w:p>
                  <w:pPr>
                    <w:adjustRightInd/>
                    <w:snapToGrid/>
                    <w:spacing w:after="0"/>
                    <w:jc w:val="center"/>
                    <w:rPr>
                      <w:rFonts w:hint="default" w:ascii="Arial" w:hAnsi="Arial" w:cs="Arial"/>
                      <w:sz w:val="21"/>
                      <w:szCs w:val="21"/>
                      <w:lang w:val="en-US" w:eastAsia="zh-CN"/>
                    </w:rPr>
                  </w:pPr>
                  <w:r>
                    <w:rPr>
                      <w:rFonts w:hint="eastAsia" w:ascii="Arial" w:hAnsi="Arial" w:cs="Arial"/>
                      <w:sz w:val="21"/>
                      <w:szCs w:val="21"/>
                      <w:lang w:val="en-US" w:eastAsia="zh-CN"/>
                    </w:rPr>
                    <w:t>168</w:t>
                  </w:r>
                </w:p>
              </w:tc>
              <w:tc>
                <w:tcPr>
                  <w:tcW w:w="1080" w:type="dxa"/>
                  <w:shd w:val="clear" w:color="auto" w:fill="auto"/>
                  <w:noWrap/>
                  <w:vAlign w:val="center"/>
                </w:tcPr>
                <w:p>
                  <w:pPr>
                    <w:adjustRightInd/>
                    <w:snapToGrid/>
                    <w:spacing w:after="0"/>
                    <w:jc w:val="center"/>
                    <w:rPr>
                      <w:rFonts w:hint="eastAsia" w:ascii="Arial" w:hAnsi="Arial" w:cs="Arial"/>
                      <w:sz w:val="21"/>
                      <w:szCs w:val="21"/>
                      <w:lang w:val="en-US" w:eastAsia="zh-CN"/>
                    </w:rPr>
                  </w:pPr>
                  <w:r>
                    <w:rPr>
                      <w:rFonts w:hint="eastAsia" w:ascii="Arial" w:hAnsi="Arial" w:cs="Arial"/>
                      <w:sz w:val="21"/>
                      <w:szCs w:val="21"/>
                      <w:lang w:val="en-US" w:eastAsia="zh-CN"/>
                    </w:rPr>
                    <w:t>100</w:t>
                  </w:r>
                  <w:r>
                    <w:rPr>
                      <w:rFonts w:ascii="Arial" w:hAnsi="Arial" w:eastAsia="宋体" w:cs="Arial"/>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atLeast"/>
              </w:trPr>
              <w:tc>
                <w:tcPr>
                  <w:tcW w:w="960" w:type="dxa"/>
                  <w:shd w:val="clear" w:color="auto" w:fill="auto"/>
                  <w:vAlign w:val="center"/>
                </w:tcPr>
                <w:p>
                  <w:pPr>
                    <w:adjustRightInd/>
                    <w:snapToGrid/>
                    <w:spacing w:after="0"/>
                    <w:jc w:val="center"/>
                    <w:rPr>
                      <w:rFonts w:hint="eastAsia" w:ascii="宋体" w:hAnsi="宋体" w:eastAsia="宋体" w:cs="Arial"/>
                      <w:color w:val="000000"/>
                      <w:sz w:val="21"/>
                      <w:szCs w:val="21"/>
                      <w:lang w:val="en-US" w:eastAsia="zh-CN"/>
                    </w:rPr>
                  </w:pPr>
                  <w:r>
                    <w:rPr>
                      <w:rFonts w:hint="eastAsia" w:ascii="宋体" w:hAnsi="宋体" w:cs="Arial"/>
                      <w:color w:val="000000"/>
                      <w:sz w:val="21"/>
                      <w:szCs w:val="21"/>
                      <w:lang w:val="en-US" w:eastAsia="zh-CN"/>
                    </w:rPr>
                    <w:t>6</w:t>
                  </w:r>
                </w:p>
              </w:tc>
              <w:tc>
                <w:tcPr>
                  <w:tcW w:w="2180" w:type="dxa"/>
                  <w:shd w:val="clear" w:color="auto" w:fill="auto"/>
                  <w:vAlign w:val="center"/>
                </w:tcPr>
                <w:p>
                  <w:pPr>
                    <w:adjustRightInd/>
                    <w:snapToGrid/>
                    <w:spacing w:after="0"/>
                    <w:jc w:val="center"/>
                    <w:rPr>
                      <w:rFonts w:hint="eastAsia" w:ascii="宋体" w:hAnsi="宋体" w:eastAsia="宋体" w:cs="Arial"/>
                      <w:color w:val="000000"/>
                      <w:sz w:val="21"/>
                      <w:szCs w:val="21"/>
                      <w:lang w:val="en-US" w:eastAsia="zh-CN"/>
                    </w:rPr>
                  </w:pPr>
                  <w:r>
                    <w:rPr>
                      <w:rFonts w:hint="eastAsia" w:ascii="宋体" w:hAnsi="宋体" w:eastAsia="宋体" w:cs="Arial"/>
                      <w:color w:val="000000"/>
                      <w:sz w:val="21"/>
                      <w:szCs w:val="21"/>
                      <w:lang w:val="en-US" w:eastAsia="zh-CN"/>
                    </w:rPr>
                    <w:t>湘财预〔2020〕165号</w:t>
                  </w:r>
                </w:p>
              </w:tc>
              <w:tc>
                <w:tcPr>
                  <w:tcW w:w="2860" w:type="dxa"/>
                  <w:shd w:val="clear" w:color="auto" w:fill="auto"/>
                  <w:vAlign w:val="center"/>
                </w:tcPr>
                <w:p>
                  <w:pPr>
                    <w:adjustRightInd/>
                    <w:snapToGrid/>
                    <w:spacing w:after="0"/>
                    <w:rPr>
                      <w:rFonts w:hint="eastAsia" w:ascii="宋体" w:hAnsi="宋体" w:eastAsia="宋体" w:cs="Arial"/>
                      <w:color w:val="000000"/>
                      <w:sz w:val="21"/>
                      <w:szCs w:val="21"/>
                      <w:lang w:val="en-US" w:eastAsia="zh-CN"/>
                    </w:rPr>
                  </w:pPr>
                  <w:r>
                    <w:rPr>
                      <w:rFonts w:hint="eastAsia" w:ascii="宋体" w:hAnsi="宋体" w:cs="Arial"/>
                      <w:color w:val="000000"/>
                      <w:sz w:val="21"/>
                      <w:szCs w:val="21"/>
                      <w:lang w:val="en-US" w:eastAsia="zh-CN"/>
                    </w:rPr>
                    <w:t>2020年公共卫生体系建设和重大疫情防控救治体系建设补助资金（县级公立医院医防结合能力建设）</w:t>
                  </w:r>
                </w:p>
              </w:tc>
              <w:tc>
                <w:tcPr>
                  <w:tcW w:w="1080" w:type="dxa"/>
                  <w:shd w:val="clear" w:color="auto" w:fill="auto"/>
                  <w:noWrap/>
                  <w:vAlign w:val="center"/>
                </w:tcPr>
                <w:p>
                  <w:pPr>
                    <w:adjustRightInd/>
                    <w:snapToGrid/>
                    <w:spacing w:after="0"/>
                    <w:jc w:val="center"/>
                    <w:rPr>
                      <w:rFonts w:hint="default" w:ascii="Arial" w:hAnsi="Arial" w:cs="Arial"/>
                      <w:sz w:val="21"/>
                      <w:szCs w:val="21"/>
                      <w:lang w:val="en-US" w:eastAsia="zh-CN"/>
                    </w:rPr>
                  </w:pPr>
                  <w:r>
                    <w:rPr>
                      <w:rFonts w:hint="eastAsia" w:ascii="Arial" w:hAnsi="Arial" w:cs="Arial"/>
                      <w:sz w:val="21"/>
                      <w:szCs w:val="21"/>
                      <w:lang w:val="en-US" w:eastAsia="zh-CN"/>
                    </w:rPr>
                    <w:t>53.64</w:t>
                  </w:r>
                </w:p>
              </w:tc>
              <w:tc>
                <w:tcPr>
                  <w:tcW w:w="1080" w:type="dxa"/>
                  <w:shd w:val="clear" w:color="auto" w:fill="auto"/>
                  <w:noWrap/>
                  <w:vAlign w:val="center"/>
                </w:tcPr>
                <w:p>
                  <w:pPr>
                    <w:adjustRightInd/>
                    <w:snapToGrid/>
                    <w:spacing w:after="0"/>
                    <w:jc w:val="center"/>
                    <w:rPr>
                      <w:rFonts w:hint="default" w:ascii="Arial" w:hAnsi="Arial" w:cs="Arial"/>
                      <w:sz w:val="21"/>
                      <w:szCs w:val="21"/>
                      <w:lang w:val="en-US" w:eastAsia="zh-CN"/>
                    </w:rPr>
                  </w:pPr>
                  <w:r>
                    <w:rPr>
                      <w:rFonts w:hint="eastAsia" w:ascii="Arial" w:hAnsi="Arial" w:cs="Arial"/>
                      <w:sz w:val="21"/>
                      <w:szCs w:val="21"/>
                      <w:lang w:val="en-US" w:eastAsia="zh-CN"/>
                    </w:rPr>
                    <w:t>53.64</w:t>
                  </w:r>
                </w:p>
              </w:tc>
              <w:tc>
                <w:tcPr>
                  <w:tcW w:w="1080" w:type="dxa"/>
                  <w:shd w:val="clear" w:color="auto" w:fill="auto"/>
                  <w:noWrap/>
                  <w:vAlign w:val="center"/>
                </w:tcPr>
                <w:p>
                  <w:pPr>
                    <w:adjustRightInd/>
                    <w:snapToGrid/>
                    <w:spacing w:after="0"/>
                    <w:jc w:val="center"/>
                    <w:rPr>
                      <w:rFonts w:hint="eastAsia" w:ascii="Arial" w:hAnsi="Arial" w:cs="Arial"/>
                      <w:sz w:val="21"/>
                      <w:szCs w:val="21"/>
                      <w:lang w:val="en-US" w:eastAsia="zh-CN"/>
                    </w:rPr>
                  </w:pPr>
                  <w:r>
                    <w:rPr>
                      <w:rFonts w:hint="eastAsia" w:ascii="Arial" w:hAnsi="Arial" w:cs="Arial"/>
                      <w:sz w:val="21"/>
                      <w:szCs w:val="21"/>
                      <w:lang w:val="en-US" w:eastAsia="zh-CN"/>
                    </w:rPr>
                    <w:t>100</w:t>
                  </w:r>
                  <w:r>
                    <w:rPr>
                      <w:rFonts w:ascii="Arial" w:hAnsi="Arial" w:eastAsia="宋体" w:cs="Arial"/>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atLeast"/>
              </w:trPr>
              <w:tc>
                <w:tcPr>
                  <w:tcW w:w="960" w:type="dxa"/>
                  <w:shd w:val="clear" w:color="auto" w:fill="auto"/>
                  <w:vAlign w:val="center"/>
                </w:tcPr>
                <w:p>
                  <w:pPr>
                    <w:adjustRightInd/>
                    <w:snapToGrid/>
                    <w:spacing w:after="0"/>
                    <w:jc w:val="center"/>
                    <w:rPr>
                      <w:rFonts w:hint="eastAsia" w:ascii="宋体" w:hAnsi="宋体" w:eastAsia="宋体" w:cs="Arial"/>
                      <w:color w:val="000000"/>
                      <w:sz w:val="21"/>
                      <w:szCs w:val="21"/>
                      <w:lang w:val="en-US" w:eastAsia="zh-CN"/>
                    </w:rPr>
                  </w:pPr>
                  <w:r>
                    <w:rPr>
                      <w:rFonts w:hint="eastAsia" w:ascii="宋体" w:hAnsi="宋体" w:cs="Arial"/>
                      <w:color w:val="000000"/>
                      <w:sz w:val="21"/>
                      <w:szCs w:val="21"/>
                      <w:lang w:val="en-US" w:eastAsia="zh-CN"/>
                    </w:rPr>
                    <w:t>7</w:t>
                  </w:r>
                </w:p>
              </w:tc>
              <w:tc>
                <w:tcPr>
                  <w:tcW w:w="2180" w:type="dxa"/>
                  <w:shd w:val="clear" w:color="auto" w:fill="auto"/>
                  <w:vAlign w:val="center"/>
                </w:tcPr>
                <w:p>
                  <w:pPr>
                    <w:adjustRightInd/>
                    <w:snapToGrid/>
                    <w:spacing w:after="0"/>
                    <w:jc w:val="center"/>
                    <w:rPr>
                      <w:rFonts w:hint="eastAsia" w:ascii="宋体" w:hAnsi="宋体" w:eastAsia="宋体" w:cs="Arial"/>
                      <w:color w:val="000000"/>
                      <w:sz w:val="21"/>
                      <w:szCs w:val="21"/>
                    </w:rPr>
                  </w:pPr>
                  <w:r>
                    <w:rPr>
                      <w:rFonts w:hint="eastAsia" w:ascii="宋体" w:hAnsi="宋体" w:eastAsia="宋体" w:cs="Arial"/>
                      <w:color w:val="000000"/>
                      <w:sz w:val="21"/>
                      <w:szCs w:val="21"/>
                    </w:rPr>
                    <w:t>县财预〔2021〕0527号</w:t>
                  </w:r>
                </w:p>
              </w:tc>
              <w:tc>
                <w:tcPr>
                  <w:tcW w:w="2860" w:type="dxa"/>
                  <w:shd w:val="clear" w:color="auto" w:fill="auto"/>
                  <w:vAlign w:val="center"/>
                </w:tcPr>
                <w:p>
                  <w:pPr>
                    <w:adjustRightInd/>
                    <w:snapToGrid/>
                    <w:spacing w:after="0"/>
                    <w:rPr>
                      <w:rFonts w:hint="eastAsia" w:ascii="宋体" w:hAnsi="宋体" w:cs="Arial"/>
                      <w:color w:val="000000"/>
                      <w:sz w:val="21"/>
                      <w:szCs w:val="21"/>
                      <w:lang w:val="en-US" w:eastAsia="zh-CN"/>
                    </w:rPr>
                  </w:pPr>
                  <w:r>
                    <w:rPr>
                      <w:rFonts w:hint="eastAsia" w:ascii="宋体" w:hAnsi="宋体" w:cs="Arial"/>
                      <w:color w:val="000000"/>
                      <w:sz w:val="21"/>
                      <w:szCs w:val="21"/>
                      <w:lang w:val="en-US" w:eastAsia="zh-CN"/>
                    </w:rPr>
                    <w:t>岳阳县人民医院建设资金</w:t>
                  </w:r>
                </w:p>
              </w:tc>
              <w:tc>
                <w:tcPr>
                  <w:tcW w:w="1080" w:type="dxa"/>
                  <w:shd w:val="clear" w:color="auto" w:fill="auto"/>
                  <w:noWrap/>
                  <w:vAlign w:val="center"/>
                </w:tcPr>
                <w:p>
                  <w:pPr>
                    <w:adjustRightInd/>
                    <w:snapToGrid/>
                    <w:spacing w:after="0"/>
                    <w:jc w:val="center"/>
                    <w:rPr>
                      <w:rFonts w:hint="default" w:ascii="Arial" w:hAnsi="Arial" w:cs="Arial"/>
                      <w:sz w:val="21"/>
                      <w:szCs w:val="21"/>
                      <w:lang w:val="en-US" w:eastAsia="zh-CN"/>
                    </w:rPr>
                  </w:pPr>
                  <w:r>
                    <w:rPr>
                      <w:rFonts w:hint="eastAsia" w:ascii="Arial" w:hAnsi="Arial" w:cs="Arial"/>
                      <w:sz w:val="21"/>
                      <w:szCs w:val="21"/>
                      <w:lang w:val="en-US" w:eastAsia="zh-CN"/>
                    </w:rPr>
                    <w:t>74.22</w:t>
                  </w:r>
                </w:p>
              </w:tc>
              <w:tc>
                <w:tcPr>
                  <w:tcW w:w="1080" w:type="dxa"/>
                  <w:shd w:val="clear" w:color="auto" w:fill="auto"/>
                  <w:noWrap/>
                  <w:vAlign w:val="center"/>
                </w:tcPr>
                <w:p>
                  <w:pPr>
                    <w:adjustRightInd/>
                    <w:snapToGrid/>
                    <w:spacing w:after="0"/>
                    <w:jc w:val="center"/>
                    <w:rPr>
                      <w:rFonts w:hint="default" w:ascii="Arial" w:hAnsi="Arial" w:cs="Arial"/>
                      <w:sz w:val="21"/>
                      <w:szCs w:val="21"/>
                      <w:lang w:val="en-US" w:eastAsia="zh-CN"/>
                    </w:rPr>
                  </w:pPr>
                  <w:r>
                    <w:rPr>
                      <w:rFonts w:hint="eastAsia" w:ascii="Arial" w:hAnsi="Arial" w:cs="Arial"/>
                      <w:sz w:val="21"/>
                      <w:szCs w:val="21"/>
                      <w:lang w:val="en-US" w:eastAsia="zh-CN"/>
                    </w:rPr>
                    <w:t>74.22</w:t>
                  </w:r>
                </w:p>
              </w:tc>
              <w:tc>
                <w:tcPr>
                  <w:tcW w:w="1080" w:type="dxa"/>
                  <w:shd w:val="clear" w:color="auto" w:fill="auto"/>
                  <w:noWrap/>
                  <w:vAlign w:val="center"/>
                </w:tcPr>
                <w:p>
                  <w:pPr>
                    <w:adjustRightInd/>
                    <w:snapToGrid/>
                    <w:spacing w:after="0"/>
                    <w:jc w:val="center"/>
                    <w:rPr>
                      <w:rFonts w:hint="eastAsia" w:ascii="Arial" w:hAnsi="Arial" w:cs="Arial"/>
                      <w:sz w:val="21"/>
                      <w:szCs w:val="21"/>
                      <w:lang w:val="en-US" w:eastAsia="zh-CN"/>
                    </w:rPr>
                  </w:pPr>
                  <w:r>
                    <w:rPr>
                      <w:rFonts w:hint="eastAsia" w:ascii="Arial" w:hAnsi="Arial" w:cs="Arial"/>
                      <w:sz w:val="21"/>
                      <w:szCs w:val="21"/>
                      <w:lang w:val="en-US" w:eastAsia="zh-CN"/>
                    </w:rPr>
                    <w:t>100</w:t>
                  </w:r>
                  <w:r>
                    <w:rPr>
                      <w:rFonts w:ascii="Arial" w:hAnsi="Arial" w:eastAsia="宋体" w:cs="Arial"/>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atLeast"/>
              </w:trPr>
              <w:tc>
                <w:tcPr>
                  <w:tcW w:w="960" w:type="dxa"/>
                  <w:shd w:val="clear" w:color="auto" w:fill="auto"/>
                  <w:vAlign w:val="center"/>
                </w:tcPr>
                <w:p>
                  <w:pPr>
                    <w:adjustRightInd/>
                    <w:snapToGrid/>
                    <w:spacing w:after="0"/>
                    <w:jc w:val="center"/>
                    <w:rPr>
                      <w:rFonts w:hint="eastAsia" w:ascii="宋体" w:hAnsi="宋体" w:cs="Arial"/>
                      <w:color w:val="000000"/>
                      <w:sz w:val="21"/>
                      <w:szCs w:val="21"/>
                      <w:lang w:val="en-US" w:eastAsia="zh-CN"/>
                    </w:rPr>
                  </w:pPr>
                </w:p>
              </w:tc>
              <w:tc>
                <w:tcPr>
                  <w:tcW w:w="2180" w:type="dxa"/>
                  <w:shd w:val="clear" w:color="auto" w:fill="auto"/>
                  <w:vAlign w:val="center"/>
                </w:tcPr>
                <w:p>
                  <w:pPr>
                    <w:adjustRightInd/>
                    <w:snapToGrid/>
                    <w:spacing w:after="0"/>
                    <w:jc w:val="center"/>
                    <w:rPr>
                      <w:rFonts w:hint="eastAsia" w:ascii="宋体" w:hAnsi="宋体" w:eastAsia="宋体" w:cs="Arial"/>
                      <w:color w:val="000000"/>
                      <w:sz w:val="21"/>
                      <w:szCs w:val="21"/>
                      <w:lang w:val="en-US" w:eastAsia="zh-CN"/>
                    </w:rPr>
                  </w:pPr>
                  <w:r>
                    <w:rPr>
                      <w:rFonts w:hint="eastAsia" w:ascii="宋体" w:hAnsi="宋体" w:cs="Arial"/>
                      <w:color w:val="000000"/>
                      <w:sz w:val="21"/>
                      <w:szCs w:val="21"/>
                      <w:lang w:val="en-US" w:eastAsia="zh-CN"/>
                    </w:rPr>
                    <w:t>合计</w:t>
                  </w:r>
                </w:p>
              </w:tc>
              <w:tc>
                <w:tcPr>
                  <w:tcW w:w="2860" w:type="dxa"/>
                  <w:shd w:val="clear" w:color="auto" w:fill="auto"/>
                  <w:vAlign w:val="center"/>
                </w:tcPr>
                <w:p>
                  <w:pPr>
                    <w:adjustRightInd/>
                    <w:snapToGrid/>
                    <w:spacing w:after="0"/>
                    <w:rPr>
                      <w:rFonts w:hint="eastAsia" w:ascii="宋体" w:hAnsi="宋体" w:cs="Arial"/>
                      <w:color w:val="000000"/>
                      <w:sz w:val="21"/>
                      <w:szCs w:val="21"/>
                      <w:lang w:val="en-US" w:eastAsia="zh-CN"/>
                    </w:rPr>
                  </w:pPr>
                </w:p>
              </w:tc>
              <w:tc>
                <w:tcPr>
                  <w:tcW w:w="1080" w:type="dxa"/>
                  <w:shd w:val="clear" w:color="auto" w:fill="auto"/>
                  <w:noWrap/>
                  <w:vAlign w:val="center"/>
                </w:tcPr>
                <w:p>
                  <w:pPr>
                    <w:adjustRightInd/>
                    <w:snapToGrid/>
                    <w:spacing w:after="0"/>
                    <w:jc w:val="center"/>
                    <w:rPr>
                      <w:rFonts w:hint="default" w:ascii="Arial" w:hAnsi="Arial" w:cs="Arial"/>
                      <w:sz w:val="21"/>
                      <w:szCs w:val="21"/>
                      <w:lang w:val="en-US" w:eastAsia="zh-CN"/>
                    </w:rPr>
                  </w:pPr>
                  <w:r>
                    <w:rPr>
                      <w:rFonts w:hint="eastAsia" w:ascii="Arial" w:hAnsi="Arial" w:cs="Arial"/>
                      <w:sz w:val="21"/>
                      <w:szCs w:val="21"/>
                      <w:lang w:val="en-US" w:eastAsia="zh-CN"/>
                    </w:rPr>
                    <w:t>66886</w:t>
                  </w:r>
                </w:p>
              </w:tc>
              <w:tc>
                <w:tcPr>
                  <w:tcW w:w="1080" w:type="dxa"/>
                  <w:shd w:val="clear" w:color="auto" w:fill="auto"/>
                  <w:noWrap/>
                  <w:vAlign w:val="center"/>
                </w:tcPr>
                <w:p>
                  <w:pPr>
                    <w:adjustRightInd/>
                    <w:snapToGrid/>
                    <w:spacing w:after="0"/>
                    <w:jc w:val="center"/>
                    <w:rPr>
                      <w:rFonts w:hint="default" w:ascii="Arial" w:hAnsi="Arial" w:cs="Arial"/>
                      <w:sz w:val="21"/>
                      <w:szCs w:val="21"/>
                      <w:lang w:val="en-US" w:eastAsia="zh-CN"/>
                    </w:rPr>
                  </w:pPr>
                  <w:r>
                    <w:rPr>
                      <w:rFonts w:hint="eastAsia" w:ascii="Arial" w:hAnsi="Arial" w:cs="Arial"/>
                      <w:sz w:val="21"/>
                      <w:szCs w:val="21"/>
                      <w:lang w:val="en-US" w:eastAsia="zh-CN"/>
                    </w:rPr>
                    <w:t>668.86</w:t>
                  </w:r>
                </w:p>
              </w:tc>
              <w:tc>
                <w:tcPr>
                  <w:tcW w:w="1080" w:type="dxa"/>
                  <w:shd w:val="clear" w:color="auto" w:fill="auto"/>
                  <w:noWrap/>
                  <w:vAlign w:val="center"/>
                </w:tcPr>
                <w:p>
                  <w:pPr>
                    <w:adjustRightInd/>
                    <w:snapToGrid/>
                    <w:spacing w:after="0"/>
                    <w:jc w:val="center"/>
                    <w:rPr>
                      <w:rFonts w:hint="eastAsia" w:ascii="Arial" w:hAnsi="Arial" w:cs="Arial"/>
                      <w:sz w:val="21"/>
                      <w:szCs w:val="21"/>
                      <w:lang w:val="en-US" w:eastAsia="zh-CN"/>
                    </w:rPr>
                  </w:pPr>
                </w:p>
              </w:tc>
            </w:tr>
          </w:tbl>
          <w:p>
            <w:pPr>
              <w:numPr>
                <w:ilvl w:val="0"/>
                <w:numId w:val="0"/>
              </w:numPr>
              <w:spacing w:line="560" w:lineRule="exact"/>
              <w:rPr>
                <w:rFonts w:hint="eastAsia" w:ascii="仿宋_GB2312" w:hAnsi="仿宋_GB2312" w:eastAsia="仿宋_GB2312" w:cs="仿宋_GB2312"/>
                <w:bCs/>
                <w:sz w:val="28"/>
                <w:szCs w:val="28"/>
              </w:rPr>
            </w:pPr>
          </w:p>
          <w:p>
            <w:pPr>
              <w:spacing w:line="560" w:lineRule="exact"/>
              <w:ind w:firstLine="560" w:firstLineChars="200"/>
              <w:rPr>
                <w:rFonts w:hint="eastAsia" w:ascii="黑体" w:hAnsi="黑体" w:eastAsia="黑体" w:cs="黑体"/>
                <w:bCs/>
                <w:sz w:val="28"/>
                <w:szCs w:val="28"/>
              </w:rPr>
            </w:pPr>
            <w:r>
              <w:rPr>
                <w:rFonts w:hint="eastAsia" w:ascii="黑体" w:hAnsi="黑体" w:eastAsia="黑体" w:cs="黑体"/>
                <w:bCs/>
                <w:sz w:val="28"/>
                <w:szCs w:val="28"/>
              </w:rPr>
              <w:t>三、</w:t>
            </w:r>
            <w:r>
              <w:rPr>
                <w:rFonts w:hint="eastAsia" w:ascii="黑体" w:hAnsi="黑体" w:eastAsia="黑体" w:cs="黑体"/>
                <w:bCs/>
                <w:sz w:val="28"/>
                <w:szCs w:val="28"/>
                <w:lang w:val="en-US" w:eastAsia="zh-CN"/>
              </w:rPr>
              <w:t>岳阳县人民医院</w:t>
            </w:r>
            <w:r>
              <w:rPr>
                <w:rFonts w:hint="eastAsia" w:ascii="黑体" w:hAnsi="黑体" w:eastAsia="黑体" w:cs="黑体"/>
                <w:bCs/>
                <w:sz w:val="28"/>
                <w:szCs w:val="28"/>
              </w:rPr>
              <w:t>专项组织实施情况</w:t>
            </w:r>
          </w:p>
          <w:p>
            <w:pPr>
              <w:spacing w:line="56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（一）专项组织情况分析</w:t>
            </w:r>
          </w:p>
          <w:p>
            <w:pPr>
              <w:spacing w:line="56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w:t>
            </w:r>
            <w:r>
              <w:rPr>
                <w:rFonts w:hint="eastAsia" w:ascii="仿宋_GB2312" w:hAnsi="仿宋_GB2312" w:eastAsia="仿宋_GB2312" w:cs="仿宋_GB2312"/>
                <w:bCs/>
                <w:sz w:val="28"/>
                <w:szCs w:val="28"/>
                <w:lang w:eastAsia="zh-CN"/>
              </w:rPr>
              <w:t>、</w:t>
            </w:r>
            <w:r>
              <w:rPr>
                <w:rFonts w:hint="eastAsia" w:ascii="仿宋_GB2312" w:hAnsi="仿宋_GB2312" w:eastAsia="仿宋_GB2312" w:cs="仿宋_GB2312"/>
                <w:bCs/>
                <w:sz w:val="28"/>
                <w:szCs w:val="28"/>
              </w:rPr>
              <w:t>对专项资</w:t>
            </w:r>
            <w:r>
              <w:rPr>
                <w:rFonts w:hint="eastAsia" w:ascii="仿宋_GB2312" w:hAnsi="仿宋_GB2312" w:eastAsia="仿宋_GB2312" w:cs="仿宋_GB2312"/>
                <w:bCs/>
                <w:sz w:val="28"/>
                <w:szCs w:val="28"/>
                <w:lang w:val="en-US" w:eastAsia="zh-CN"/>
              </w:rPr>
              <w:t>金医院认</w:t>
            </w:r>
            <w:r>
              <w:rPr>
                <w:rFonts w:hint="eastAsia" w:ascii="仿宋_GB2312" w:hAnsi="仿宋_GB2312" w:eastAsia="仿宋_GB2312" w:cs="仿宋_GB2312"/>
                <w:bCs/>
                <w:sz w:val="28"/>
                <w:szCs w:val="28"/>
              </w:rPr>
              <w:t>真</w:t>
            </w:r>
            <w:r>
              <w:rPr>
                <w:rFonts w:hint="eastAsia" w:ascii="仿宋_GB2312" w:hAnsi="仿宋_GB2312" w:eastAsia="仿宋_GB2312" w:cs="仿宋_GB2312"/>
                <w:bCs/>
                <w:sz w:val="28"/>
                <w:szCs w:val="28"/>
                <w:lang w:val="en-US" w:eastAsia="zh-CN"/>
              </w:rPr>
              <w:t>执行</w:t>
            </w:r>
            <w:r>
              <w:rPr>
                <w:rFonts w:hint="eastAsia" w:ascii="仿宋_GB2312" w:hAnsi="仿宋_GB2312" w:eastAsia="仿宋_GB2312" w:cs="仿宋_GB2312"/>
                <w:bCs/>
                <w:sz w:val="28"/>
                <w:szCs w:val="28"/>
              </w:rPr>
              <w:t>财</w:t>
            </w:r>
            <w:r>
              <w:rPr>
                <w:rFonts w:hint="eastAsia" w:ascii="仿宋_GB2312" w:hAnsi="仿宋_GB2312" w:eastAsia="仿宋_GB2312" w:cs="仿宋_GB2312"/>
                <w:bCs/>
                <w:sz w:val="28"/>
                <w:szCs w:val="28"/>
                <w:lang w:val="en-US" w:eastAsia="zh-CN"/>
              </w:rPr>
              <w:t>经</w:t>
            </w:r>
            <w:r>
              <w:rPr>
                <w:rFonts w:hint="eastAsia" w:ascii="仿宋_GB2312" w:hAnsi="仿宋_GB2312" w:eastAsia="仿宋_GB2312" w:cs="仿宋_GB2312"/>
                <w:bCs/>
                <w:sz w:val="28"/>
                <w:szCs w:val="28"/>
              </w:rPr>
              <w:t>法</w:t>
            </w:r>
            <w:r>
              <w:rPr>
                <w:rFonts w:hint="eastAsia" w:ascii="仿宋_GB2312" w:hAnsi="仿宋_GB2312" w:eastAsia="仿宋_GB2312" w:cs="仿宋_GB2312"/>
                <w:bCs/>
                <w:sz w:val="28"/>
                <w:szCs w:val="28"/>
                <w:lang w:val="en-US" w:eastAsia="zh-CN"/>
              </w:rPr>
              <w:t>规及各项资金</w:t>
            </w:r>
            <w:r>
              <w:rPr>
                <w:rFonts w:hint="eastAsia" w:ascii="仿宋_GB2312" w:hAnsi="仿宋_GB2312" w:eastAsia="仿宋_GB2312" w:cs="仿宋_GB2312"/>
                <w:bCs/>
                <w:sz w:val="28"/>
                <w:szCs w:val="28"/>
              </w:rPr>
              <w:t>管</w:t>
            </w:r>
            <w:r>
              <w:rPr>
                <w:rFonts w:hint="eastAsia" w:ascii="仿宋_GB2312" w:hAnsi="仿宋_GB2312" w:eastAsia="仿宋_GB2312" w:cs="仿宋_GB2312"/>
                <w:bCs/>
                <w:sz w:val="28"/>
                <w:szCs w:val="28"/>
                <w:lang w:val="en-US" w:eastAsia="zh-CN"/>
              </w:rPr>
              <w:t>理</w:t>
            </w:r>
            <w:r>
              <w:rPr>
                <w:rFonts w:hint="eastAsia" w:ascii="仿宋_GB2312" w:hAnsi="仿宋_GB2312" w:eastAsia="仿宋_GB2312" w:cs="仿宋_GB2312"/>
                <w:bCs/>
                <w:sz w:val="28"/>
                <w:szCs w:val="28"/>
              </w:rPr>
              <w:t>制度，针对财务制度及流程制定了符合</w:t>
            </w:r>
            <w:r>
              <w:rPr>
                <w:rFonts w:hint="eastAsia" w:ascii="仿宋_GB2312" w:hAnsi="仿宋_GB2312" w:eastAsia="仿宋_GB2312" w:cs="仿宋_GB2312"/>
                <w:bCs/>
                <w:sz w:val="28"/>
                <w:szCs w:val="28"/>
                <w:lang w:val="en-US" w:eastAsia="zh-CN"/>
              </w:rPr>
              <w:t>医院</w:t>
            </w:r>
            <w:r>
              <w:rPr>
                <w:rFonts w:hint="eastAsia" w:ascii="仿宋_GB2312" w:hAnsi="仿宋_GB2312" w:eastAsia="仿宋_GB2312" w:cs="仿宋_GB2312"/>
                <w:bCs/>
                <w:sz w:val="28"/>
                <w:szCs w:val="28"/>
              </w:rPr>
              <w:t>实际情况的研究开发</w:t>
            </w:r>
            <w:r>
              <w:rPr>
                <w:rFonts w:hint="eastAsia" w:ascii="仿宋_GB2312" w:hAnsi="仿宋_GB2312" w:eastAsia="仿宋_GB2312" w:cs="仿宋_GB2312"/>
                <w:bCs/>
                <w:sz w:val="28"/>
                <w:szCs w:val="28"/>
                <w:lang w:val="en-US" w:eastAsia="zh-CN"/>
              </w:rPr>
              <w:t>资金</w:t>
            </w:r>
            <w:r>
              <w:rPr>
                <w:rFonts w:hint="eastAsia" w:ascii="仿宋_GB2312" w:hAnsi="仿宋_GB2312" w:eastAsia="仿宋_GB2312" w:cs="仿宋_GB2312"/>
                <w:bCs/>
                <w:sz w:val="28"/>
                <w:szCs w:val="28"/>
              </w:rPr>
              <w:t>管理办法及内部控制制度。</w:t>
            </w:r>
          </w:p>
          <w:p>
            <w:pPr>
              <w:spacing w:line="56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2、按照财经法规和管</w:t>
            </w:r>
            <w:r>
              <w:rPr>
                <w:rFonts w:hint="eastAsia" w:ascii="仿宋_GB2312" w:hAnsi="仿宋_GB2312" w:eastAsia="仿宋_GB2312" w:cs="仿宋_GB2312"/>
                <w:bCs/>
                <w:sz w:val="28"/>
                <w:szCs w:val="28"/>
                <w:lang w:val="en-US" w:eastAsia="zh-CN"/>
              </w:rPr>
              <w:t>理</w:t>
            </w:r>
            <w:r>
              <w:rPr>
                <w:rFonts w:hint="eastAsia" w:ascii="仿宋_GB2312" w:hAnsi="仿宋_GB2312" w:eastAsia="仿宋_GB2312" w:cs="仿宋_GB2312"/>
                <w:bCs/>
                <w:sz w:val="28"/>
                <w:szCs w:val="28"/>
              </w:rPr>
              <w:t>办法和内部控制相应制度对</w:t>
            </w:r>
            <w:r>
              <w:rPr>
                <w:rFonts w:hint="eastAsia" w:ascii="仿宋_GB2312" w:hAnsi="仿宋_GB2312" w:eastAsia="仿宋_GB2312" w:cs="仿宋_GB2312"/>
                <w:bCs/>
                <w:sz w:val="28"/>
                <w:szCs w:val="28"/>
                <w:lang w:val="en-US" w:eastAsia="zh-CN"/>
              </w:rPr>
              <w:t>专项资金</w:t>
            </w:r>
            <w:r>
              <w:rPr>
                <w:rFonts w:hint="eastAsia" w:ascii="仿宋_GB2312" w:hAnsi="仿宋_GB2312" w:eastAsia="仿宋_GB2312" w:cs="仿宋_GB2312"/>
                <w:bCs/>
                <w:sz w:val="28"/>
                <w:szCs w:val="28"/>
              </w:rPr>
              <w:t>的使用进行了专项的会计核算，专项资金单独核算，设置了</w:t>
            </w:r>
            <w:r>
              <w:rPr>
                <w:rFonts w:hint="eastAsia" w:ascii="仿宋_GB2312" w:hAnsi="仿宋_GB2312" w:eastAsia="仿宋_GB2312" w:cs="仿宋_GB2312"/>
                <w:bCs/>
                <w:sz w:val="28"/>
                <w:szCs w:val="28"/>
                <w:lang w:val="en-US" w:eastAsia="zh-CN"/>
              </w:rPr>
              <w:t>专项</w:t>
            </w:r>
            <w:r>
              <w:rPr>
                <w:rFonts w:hint="eastAsia" w:ascii="仿宋_GB2312" w:hAnsi="仿宋_GB2312" w:eastAsia="仿宋_GB2312" w:cs="仿宋_GB2312"/>
                <w:bCs/>
                <w:sz w:val="28"/>
                <w:szCs w:val="28"/>
              </w:rPr>
              <w:t>科目，核算内容确保了其真实、准确和完整性。对于用于专项资金实行先审批后付款完善的审批程度能保证资金手续的完备性，相关档案资料定期存档专人保管。</w:t>
            </w:r>
          </w:p>
          <w:p>
            <w:pPr>
              <w:spacing w:line="56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3、按照项目申报时的预算和支出范围，实行以项目负责人审批专款，项目负责人不审批不付款的制度。没有出现超值、超范围、挪用、占用、自行分解和擅自转拨科技专项资金的情况。</w:t>
            </w:r>
          </w:p>
          <w:p>
            <w:pPr>
              <w:spacing w:line="56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4、购入的设备单独核算单独登记。</w:t>
            </w:r>
          </w:p>
          <w:p>
            <w:pPr>
              <w:spacing w:line="560" w:lineRule="exact"/>
              <w:ind w:firstLine="560" w:firstLineChars="200"/>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5、由会计人员和内部审计小组按项目预算进度实行季度审计，对不符合该项目的费用作出调整</w:t>
            </w:r>
            <w:r>
              <w:rPr>
                <w:rFonts w:hint="eastAsia" w:ascii="仿宋_GB2312" w:hAnsi="仿宋_GB2312" w:eastAsia="仿宋_GB2312" w:cs="仿宋_GB2312"/>
                <w:bCs/>
                <w:sz w:val="28"/>
                <w:szCs w:val="28"/>
                <w:lang w:eastAsia="zh-CN"/>
              </w:rPr>
              <w:t>，</w:t>
            </w:r>
            <w:r>
              <w:rPr>
                <w:rFonts w:hint="eastAsia" w:ascii="仿宋_GB2312" w:hAnsi="仿宋_GB2312" w:eastAsia="仿宋_GB2312" w:cs="仿宋_GB2312"/>
                <w:bCs/>
                <w:sz w:val="28"/>
                <w:szCs w:val="28"/>
              </w:rPr>
              <w:t>没有出现拖延财务结账、长期挂账的问题。为进一步加强财政专项资金使用监督，促进专项资金规范管理，提高专项资金的使用效益，将继续严格管控项目专项资金的使用情况</w:t>
            </w:r>
            <w:r>
              <w:rPr>
                <w:rFonts w:hint="eastAsia" w:ascii="仿宋_GB2312" w:hAnsi="仿宋_GB2312" w:eastAsia="仿宋_GB2312" w:cs="仿宋_GB2312"/>
                <w:bCs/>
                <w:sz w:val="28"/>
                <w:szCs w:val="28"/>
                <w:lang w:eastAsia="zh-CN"/>
              </w:rPr>
              <w:t>。</w:t>
            </w:r>
          </w:p>
          <w:p>
            <w:pPr>
              <w:spacing w:line="56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（二）专项管理情况分析</w:t>
            </w:r>
          </w:p>
          <w:p>
            <w:pPr>
              <w:spacing w:line="600" w:lineRule="exact"/>
              <w:ind w:firstLine="560" w:firstLineChars="200"/>
              <w:rPr>
                <w:rFonts w:eastAsia="仿宋_GB2312"/>
                <w:sz w:val="28"/>
                <w:szCs w:val="28"/>
              </w:rPr>
            </w:pPr>
            <w:r>
              <w:rPr>
                <w:rFonts w:eastAsia="仿宋_GB2312"/>
                <w:sz w:val="28"/>
                <w:szCs w:val="28"/>
              </w:rPr>
              <w:t>为加强</w:t>
            </w:r>
            <w:r>
              <w:rPr>
                <w:rFonts w:hint="eastAsia" w:eastAsia="仿宋_GB2312"/>
                <w:sz w:val="28"/>
                <w:szCs w:val="28"/>
              </w:rPr>
              <w:t>医院</w:t>
            </w:r>
            <w:r>
              <w:rPr>
                <w:rFonts w:eastAsia="仿宋_GB2312"/>
                <w:sz w:val="28"/>
                <w:szCs w:val="28"/>
              </w:rPr>
              <w:t>‎项目专项资‎金的管理，‎合理、有效‎、规范使用‎专项资金</w:t>
            </w:r>
            <w:r>
              <w:rPr>
                <w:rFonts w:hint="eastAsia" w:eastAsia="仿宋_GB2312"/>
                <w:sz w:val="28"/>
                <w:szCs w:val="28"/>
              </w:rPr>
              <w:t>，结合医院实际情况，我院成立了专门的预算支出小组。</w:t>
            </w:r>
          </w:p>
          <w:p>
            <w:pPr>
              <w:pStyle w:val="4"/>
              <w:shd w:val="clear" w:color="auto" w:fill="FFFFFF"/>
              <w:spacing w:before="0" w:beforeAutospacing="0" w:after="0" w:afterAutospacing="0" w:line="390" w:lineRule="atLeast"/>
              <w:ind w:firstLine="560" w:firstLineChars="200"/>
              <w:rPr>
                <w:rFonts w:ascii="Tahoma" w:hAnsi="Tahoma" w:eastAsia="仿宋_GB2312" w:cstheme="minorBidi"/>
                <w:sz w:val="28"/>
                <w:szCs w:val="28"/>
              </w:rPr>
            </w:pPr>
            <w:r>
              <w:rPr>
                <w:rFonts w:eastAsia="仿宋_GB2312"/>
                <w:sz w:val="28"/>
                <w:szCs w:val="28"/>
              </w:rPr>
              <w:t>预算资金和</w:t>
            </w:r>
            <w:r>
              <w:rPr>
                <w:rFonts w:ascii="Tahoma" w:hAnsi="Tahoma" w:eastAsia="仿宋_GB2312" w:cstheme="minorBidi"/>
                <w:sz w:val="28"/>
                <w:szCs w:val="28"/>
              </w:rPr>
              <w:t>项目专项资金管理制度</w:t>
            </w:r>
            <w:r>
              <w:rPr>
                <w:rFonts w:hint="eastAsia" w:ascii="Tahoma" w:hAnsi="Tahoma" w:eastAsia="仿宋_GB2312" w:cstheme="minorBidi"/>
                <w:sz w:val="28"/>
                <w:szCs w:val="28"/>
              </w:rPr>
              <w:t>。</w:t>
            </w:r>
          </w:p>
          <w:p>
            <w:pPr>
              <w:pStyle w:val="4"/>
              <w:shd w:val="clear" w:color="auto" w:fill="FFFFFF"/>
              <w:spacing w:before="0" w:beforeAutospacing="0" w:after="0" w:afterAutospacing="0" w:line="390" w:lineRule="atLeast"/>
              <w:ind w:firstLine="560" w:firstLineChars="200"/>
              <w:rPr>
                <w:rFonts w:ascii="Tahoma" w:hAnsi="Tahoma" w:eastAsia="仿宋_GB2312" w:cstheme="minorBidi"/>
                <w:sz w:val="28"/>
                <w:szCs w:val="28"/>
              </w:rPr>
            </w:pPr>
            <w:r>
              <w:rPr>
                <w:rFonts w:hint="eastAsia" w:eastAsia="仿宋_GB2312"/>
                <w:sz w:val="28"/>
                <w:szCs w:val="28"/>
                <w:lang w:val="en-US" w:eastAsia="zh-CN"/>
              </w:rPr>
              <w:t>1</w:t>
            </w:r>
            <w:r>
              <w:rPr>
                <w:rFonts w:ascii="Tahoma" w:hAnsi="Tahoma" w:eastAsia="仿宋_GB2312" w:cstheme="minorBidi"/>
                <w:sz w:val="28"/>
                <w:szCs w:val="28"/>
              </w:rPr>
              <w:t>、专项资金实行</w:t>
            </w:r>
            <w:r>
              <w:rPr>
                <w:rFonts w:hint="eastAsia" w:ascii="Tahoma" w:hAnsi="Tahoma" w:eastAsia="仿宋_GB2312" w:cstheme="minorBidi"/>
                <w:sz w:val="28"/>
                <w:szCs w:val="28"/>
              </w:rPr>
              <w:t>：</w:t>
            </w:r>
            <w:r>
              <w:rPr>
                <w:rFonts w:ascii="Tahoma" w:hAnsi="Tahoma" w:eastAsia="仿宋_GB2312" w:cstheme="minorBidi"/>
                <w:sz w:val="28"/>
                <w:szCs w:val="28"/>
              </w:rPr>
              <w:t>专人管理、专户储存、专账核算、专项使用。</w:t>
            </w:r>
          </w:p>
          <w:p>
            <w:pPr>
              <w:pStyle w:val="4"/>
              <w:shd w:val="clear" w:color="auto" w:fill="FFFFFF"/>
              <w:spacing w:before="0" w:beforeAutospacing="0" w:after="0" w:afterAutospacing="0" w:line="390" w:lineRule="atLeast"/>
              <w:ind w:firstLine="560" w:firstLineChars="200"/>
              <w:rPr>
                <w:rFonts w:ascii="Tahoma" w:hAnsi="Tahoma" w:eastAsia="仿宋_GB2312" w:cstheme="minorBidi"/>
                <w:sz w:val="28"/>
                <w:szCs w:val="28"/>
              </w:rPr>
            </w:pPr>
            <w:r>
              <w:rPr>
                <w:rFonts w:hint="eastAsia" w:eastAsia="仿宋_GB2312"/>
                <w:sz w:val="28"/>
                <w:szCs w:val="28"/>
                <w:lang w:val="en-US" w:eastAsia="zh-CN"/>
              </w:rPr>
              <w:t>2、</w:t>
            </w:r>
            <w:r>
              <w:rPr>
                <w:rFonts w:ascii="Tahoma" w:hAnsi="Tahoma" w:eastAsia="仿宋_GB2312" w:cstheme="minorBidi"/>
                <w:sz w:val="28"/>
                <w:szCs w:val="28"/>
              </w:rPr>
              <w:t>资金的拨付本着专款专用的原则，严格执行项目资金批准的使用计划和项目批复内容，不准擅自调项、扩项、缩项，更不准拆借、挪用、挤占；资金拨付动向，按不同专项资金的要求执行，不准任意改变。</w:t>
            </w:r>
          </w:p>
          <w:p>
            <w:pPr>
              <w:pStyle w:val="4"/>
              <w:shd w:val="clear" w:color="auto" w:fill="FFFFFF"/>
              <w:spacing w:before="0" w:beforeAutospacing="0" w:after="0" w:afterAutospacing="0" w:line="390" w:lineRule="atLeast"/>
              <w:ind w:firstLine="560" w:firstLineChars="200"/>
              <w:rPr>
                <w:rFonts w:ascii="Tahoma" w:hAnsi="Tahoma" w:eastAsia="仿宋_GB2312" w:cstheme="minorBidi"/>
                <w:sz w:val="28"/>
                <w:szCs w:val="28"/>
              </w:rPr>
            </w:pPr>
            <w:r>
              <w:rPr>
                <w:rFonts w:hint="eastAsia" w:ascii="Tahoma" w:hAnsi="Tahoma" w:eastAsia="仿宋_GB2312" w:cstheme="minorBidi"/>
                <w:sz w:val="28"/>
                <w:szCs w:val="28"/>
                <w:lang w:val="en-US" w:eastAsia="zh-CN"/>
              </w:rPr>
              <w:t>3、</w:t>
            </w:r>
            <w:r>
              <w:rPr>
                <w:rFonts w:ascii="Tahoma" w:hAnsi="Tahoma" w:eastAsia="仿宋_GB2312" w:cstheme="minorBidi"/>
                <w:sz w:val="28"/>
                <w:szCs w:val="28"/>
              </w:rPr>
              <w:t>严格专项资金初审、审核、审核制度，不准缺项，各类专项资金审批程序，以该专项资金审批表所列内容。</w:t>
            </w:r>
          </w:p>
          <w:p>
            <w:pPr>
              <w:spacing w:line="560" w:lineRule="exact"/>
              <w:ind w:firstLine="560" w:firstLineChars="200"/>
              <w:rPr>
                <w:rFonts w:hint="eastAsia" w:ascii="仿宋_GB2312" w:hAnsi="仿宋_GB2312" w:eastAsia="仿宋_GB2312" w:cs="仿宋_GB2312"/>
                <w:bCs/>
                <w:sz w:val="28"/>
                <w:szCs w:val="28"/>
              </w:rPr>
            </w:pPr>
            <w:r>
              <w:rPr>
                <w:rFonts w:hint="eastAsia" w:ascii="Tahoma" w:hAnsi="Tahoma" w:eastAsia="仿宋_GB2312" w:cstheme="minorBidi"/>
                <w:sz w:val="28"/>
                <w:szCs w:val="28"/>
                <w:lang w:val="en-US" w:eastAsia="zh-CN"/>
              </w:rPr>
              <w:t>4</w:t>
            </w:r>
            <w:r>
              <w:rPr>
                <w:rFonts w:ascii="Times New Roman" w:hAnsi="Times New Roman" w:eastAsia="仿宋_GB2312" w:cs="Times New Roman"/>
                <w:kern w:val="0"/>
                <w:sz w:val="28"/>
                <w:szCs w:val="28"/>
                <w:lang w:val="en-US" w:eastAsia="zh-CN" w:bidi="ar-SA"/>
              </w:rPr>
              <w:t>、</w:t>
            </w:r>
            <w:r>
              <w:rPr>
                <w:rFonts w:ascii="Tahoma" w:hAnsi="Tahoma" w:eastAsia="仿宋_GB2312" w:cstheme="minorBidi"/>
                <w:sz w:val="28"/>
                <w:szCs w:val="28"/>
              </w:rPr>
              <w:t>加强审计监督，实行整体项目验收审计，年度资金收支审计。</w:t>
            </w:r>
          </w:p>
          <w:p>
            <w:pPr>
              <w:spacing w:line="560" w:lineRule="exact"/>
              <w:ind w:firstLine="560" w:firstLineChars="200"/>
              <w:rPr>
                <w:rFonts w:hint="eastAsia" w:ascii="黑体" w:hAnsi="黑体" w:eastAsia="黑体" w:cs="黑体"/>
                <w:bCs/>
                <w:sz w:val="28"/>
                <w:szCs w:val="28"/>
              </w:rPr>
            </w:pPr>
            <w:r>
              <w:rPr>
                <w:rFonts w:hint="eastAsia" w:ascii="黑体" w:hAnsi="黑体" w:eastAsia="黑体" w:cs="黑体"/>
                <w:bCs/>
                <w:sz w:val="28"/>
                <w:szCs w:val="28"/>
              </w:rPr>
              <w:t>四、</w:t>
            </w:r>
            <w:r>
              <w:rPr>
                <w:rFonts w:hint="eastAsia" w:ascii="黑体" w:hAnsi="黑体" w:eastAsia="黑体" w:cs="黑体"/>
                <w:bCs/>
                <w:sz w:val="28"/>
                <w:szCs w:val="28"/>
                <w:lang w:val="en-US" w:eastAsia="zh-CN"/>
              </w:rPr>
              <w:t>岳阳县人民医院</w:t>
            </w:r>
            <w:r>
              <w:rPr>
                <w:rFonts w:hint="eastAsia" w:ascii="黑体" w:hAnsi="黑体" w:eastAsia="黑体" w:cs="黑体"/>
                <w:bCs/>
                <w:sz w:val="28"/>
                <w:szCs w:val="28"/>
              </w:rPr>
              <w:t>整体支出绩效情况</w:t>
            </w:r>
          </w:p>
          <w:p>
            <w:pPr>
              <w:spacing w:line="560" w:lineRule="exact"/>
              <w:ind w:firstLine="560" w:firstLineChars="200"/>
              <w:rPr>
                <w:rFonts w:hint="eastAsia" w:ascii="黑体" w:hAnsi="黑体" w:eastAsia="黑体" w:cs="黑体"/>
                <w:bCs/>
                <w:sz w:val="28"/>
                <w:szCs w:val="28"/>
              </w:rPr>
            </w:pPr>
            <w:r>
              <w:rPr>
                <w:rFonts w:hint="eastAsia" w:ascii="仿宋_GB2312" w:hAnsi="仿宋_GB2312" w:eastAsia="仿宋_GB2312" w:cs="仿宋_GB2312"/>
                <w:bCs/>
                <w:sz w:val="28"/>
                <w:szCs w:val="28"/>
              </w:rPr>
              <w:t>根据文件的要求，为进一步规范财政资金管理，强化绩效和责任意识，切实提高财政资金使用效益，我单位对2022年度部门整体支出、单位项目支出、重点(专项)项目支出进行了绩效自评。县人民医院外科楼建设项目支出绩效自评得分95，评价等级为“优秀”;已按县财政局统一要求随同部门决算作为附件公开。</w:t>
            </w:r>
          </w:p>
          <w:p>
            <w:pPr>
              <w:numPr>
                <w:ilvl w:val="0"/>
                <w:numId w:val="3"/>
              </w:numPr>
              <w:spacing w:line="560" w:lineRule="exact"/>
              <w:ind w:firstLine="560" w:firstLineChars="200"/>
              <w:rPr>
                <w:rFonts w:hint="eastAsia" w:ascii="黑体" w:hAnsi="黑体" w:eastAsia="黑体" w:cs="黑体"/>
                <w:bCs/>
                <w:sz w:val="28"/>
                <w:szCs w:val="28"/>
              </w:rPr>
            </w:pPr>
            <w:r>
              <w:rPr>
                <w:rFonts w:hint="eastAsia" w:ascii="黑体" w:hAnsi="黑体" w:eastAsia="黑体" w:cs="黑体"/>
                <w:bCs/>
                <w:sz w:val="28"/>
                <w:szCs w:val="28"/>
              </w:rPr>
              <w:t>存在的主要问题</w:t>
            </w:r>
          </w:p>
          <w:p>
            <w:pPr>
              <w:spacing w:line="560" w:lineRule="exact"/>
              <w:ind w:firstLine="560" w:firstLineChars="200"/>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lang w:val="en-US" w:eastAsia="zh-CN"/>
              </w:rPr>
              <w:t>本</w:t>
            </w:r>
            <w:r>
              <w:rPr>
                <w:rFonts w:hint="eastAsia" w:ascii="仿宋_GB2312" w:hAnsi="仿宋_GB2312" w:eastAsia="仿宋_GB2312" w:cs="仿宋_GB2312"/>
                <w:bCs/>
                <w:sz w:val="28"/>
                <w:szCs w:val="28"/>
              </w:rPr>
              <w:t>年医院做了大量的工作，取得了一定的成效，但是发展任务仍然艰巨</w:t>
            </w:r>
            <w:r>
              <w:rPr>
                <w:rFonts w:hint="eastAsia" w:ascii="仿宋_GB2312" w:hAnsi="仿宋_GB2312" w:eastAsia="仿宋_GB2312" w:cs="仿宋_GB2312"/>
                <w:bCs/>
                <w:sz w:val="28"/>
                <w:szCs w:val="28"/>
                <w:lang w:eastAsia="zh-CN"/>
              </w:rPr>
              <w:t>。</w:t>
            </w:r>
          </w:p>
          <w:p>
            <w:pPr>
              <w:spacing w:line="56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自2020年突发的新冠肺炎疫情以来，医院门诊量、住院病人量大幅减少，收入断崖式下降。面对严峻的疫情形势，我院责无旁贷地加入了疫情第一线，按疫情防控要求，重新配置医疗资源，开设发热门诊，建立隔离病房，选派优秀医务人员支援疫苗注射和核酸检测，为了防范医院交又感尖，医院加大防控建设投入，导致医院因防控成本支出大幅上升，运营成本大幅增加，自公立医院改革取消药品加成后于2020年1月开始又全面取消耗材加成，医疗服务补偿机制不足以弥补其亏损，无疑加速了医院的经济紧张</w:t>
            </w:r>
          </w:p>
          <w:p>
            <w:pPr>
              <w:spacing w:line="560" w:lineRule="exact"/>
              <w:ind w:firstLine="560" w:firstLineChars="200"/>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(二)人才匮乏，成为医院发展难题，新的无法补充，老、中、青人才梯队严重断层，迫切需要优秀学科带头人的加入，人才贾乏成为我院发展的一道难题</w:t>
            </w:r>
            <w:r>
              <w:rPr>
                <w:rFonts w:hint="eastAsia" w:ascii="仿宋_GB2312" w:hAnsi="仿宋_GB2312" w:eastAsia="仿宋_GB2312" w:cs="仿宋_GB2312"/>
                <w:bCs/>
                <w:sz w:val="28"/>
                <w:szCs w:val="28"/>
                <w:lang w:eastAsia="zh-CN"/>
              </w:rPr>
              <w:t>。</w:t>
            </w:r>
          </w:p>
          <w:p>
            <w:pPr>
              <w:spacing w:line="560" w:lineRule="exact"/>
              <w:ind w:firstLine="560" w:firstLineChars="200"/>
              <w:rPr>
                <w:rFonts w:hint="eastAsia" w:ascii="仿宋_GB2312" w:hAnsi="仿宋_GB2312" w:eastAsia="仿宋_GB2312" w:cs="仿宋_GB2312"/>
                <w:bCs/>
                <w:sz w:val="28"/>
                <w:szCs w:val="28"/>
                <w:lang w:eastAsia="zh-CN"/>
              </w:rPr>
            </w:pPr>
          </w:p>
          <w:p>
            <w:pPr>
              <w:spacing w:line="560" w:lineRule="exact"/>
              <w:ind w:firstLine="560" w:firstLineChars="200"/>
              <w:rPr>
                <w:rFonts w:hint="eastAsia" w:ascii="黑体" w:hAnsi="黑体" w:eastAsia="黑体" w:cs="黑体"/>
                <w:bCs/>
                <w:sz w:val="28"/>
                <w:szCs w:val="28"/>
              </w:rPr>
            </w:pPr>
            <w:r>
              <w:rPr>
                <w:rFonts w:hint="eastAsia" w:ascii="黑体" w:hAnsi="黑体" w:eastAsia="黑体" w:cs="黑体"/>
                <w:bCs/>
                <w:sz w:val="28"/>
                <w:szCs w:val="28"/>
              </w:rPr>
              <w:t>六、改进措施和有关建议</w:t>
            </w:r>
          </w:p>
          <w:p>
            <w:pPr>
              <w:spacing w:line="560" w:lineRule="exact"/>
              <w:ind w:firstLine="560" w:firstLineChars="200"/>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今年来，医院坚持党建引领，各项工作稳中有进，取得了一定成效，服务人次稳步增长；学科建设奋勇争先，医院纳入国家首批“千县工程”，泌尿外科成功创建省级重点专科，一批新技术、新项目开花结果，人才建设、科室发展势头良好；疫情防控持之以恒，外联工作有声有色，分级诊疗效果明显，医院运营、医疗质量、优质服务等工作均取得了较好的成绩，为</w:t>
            </w:r>
            <w:r>
              <w:rPr>
                <w:rFonts w:hint="eastAsia" w:ascii="仿宋_GB2312" w:hAnsi="仿宋_GB2312" w:eastAsia="仿宋_GB2312" w:cs="仿宋_GB2312"/>
                <w:bCs/>
                <w:sz w:val="28"/>
                <w:szCs w:val="28"/>
                <w:lang w:eastAsia="zh-CN"/>
              </w:rPr>
              <w:t>三级医院创建筑牢了坚实基础。但在</w:t>
            </w:r>
            <w:r>
              <w:rPr>
                <w:rFonts w:hint="eastAsia" w:ascii="仿宋_GB2312" w:hAnsi="仿宋_GB2312" w:eastAsia="仿宋_GB2312" w:cs="仿宋_GB2312"/>
                <w:bCs/>
                <w:sz w:val="28"/>
                <w:szCs w:val="28"/>
                <w:lang w:val="en-US" w:eastAsia="zh-CN"/>
              </w:rPr>
              <w:t>人才队伍建设、基础设施设备、医院品牌及软实力等方面还有很大提升空间；在三级医院创建方面还存在薄弱环节，如医疗服务缺乏温度，在制度落实上缺乏力度，精细化管理没有完全落实。这些都亟待采取有力措施，切实加以解决。</w:t>
            </w:r>
          </w:p>
          <w:p>
            <w:pPr>
              <w:spacing w:line="560" w:lineRule="exact"/>
              <w:ind w:firstLine="560" w:firstLineChars="200"/>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未来工作重点即“1356发展战略”：</w:t>
            </w:r>
          </w:p>
          <w:p>
            <w:pPr>
              <w:spacing w:line="560" w:lineRule="exact"/>
              <w:ind w:firstLine="560" w:firstLineChars="200"/>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“1”是坚持一个目标不动摇，打造患者满意、职工幸福的区域医疗中心。</w:t>
            </w:r>
          </w:p>
          <w:p>
            <w:pPr>
              <w:spacing w:line="560" w:lineRule="exact"/>
              <w:ind w:firstLine="560" w:firstLineChars="200"/>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“3”是奋力三三工程不松劲，三年三个亿，基本上达到创建三级医院的条件。</w:t>
            </w:r>
          </w:p>
          <w:p>
            <w:pPr>
              <w:spacing w:line="560" w:lineRule="exact"/>
              <w:ind w:firstLine="560" w:firstLineChars="200"/>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5”是持续五抓五促提能力。抓党建促发展，坚持公立医院的公益性，争取最大限度的政策支持。抓项目促基础，全力推进外科大楼的建设，改善服务条件。抓学科促能力，持续巩固加强学科建设，争创一系列省、市重点学科。抓服务促品牌，打造优质服务品牌。抓管理促效益，加强医院精细化管理，激发发展潜力。</w:t>
            </w:r>
          </w:p>
          <w:p>
            <w:pPr>
              <w:spacing w:line="560" w:lineRule="exact"/>
              <w:ind w:firstLine="560" w:firstLineChars="200"/>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6”是完善六大体系上水平。一是以党委为核心的管理决策体系。二是以业务为重点的质量安全体系。三是以学科为抓手的能力提升体系。四是以患者为中心的优质服务体系。五是以医院为归宿的文化认同体系。六是以改革为导向的创新驱动体系。</w:t>
            </w:r>
          </w:p>
          <w:p>
            <w:pPr>
              <w:spacing w:line="560" w:lineRule="exact"/>
              <w:ind w:firstLine="560" w:firstLineChars="200"/>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lang w:eastAsia="zh-CN"/>
              </w:rPr>
              <w:t>院党委班子将以习近平新时代中国特色社会主义思想和党的</w:t>
            </w:r>
            <w:r>
              <w:rPr>
                <w:rFonts w:hint="eastAsia" w:ascii="仿宋_GB2312" w:hAnsi="仿宋_GB2312" w:eastAsia="仿宋_GB2312" w:cs="仿宋_GB2312"/>
                <w:bCs/>
                <w:sz w:val="28"/>
                <w:szCs w:val="28"/>
                <w:lang w:val="en-US" w:eastAsia="zh-CN"/>
              </w:rPr>
              <w:t>二十</w:t>
            </w:r>
            <w:r>
              <w:rPr>
                <w:rFonts w:hint="eastAsia" w:ascii="仿宋_GB2312" w:hAnsi="仿宋_GB2312" w:eastAsia="仿宋_GB2312" w:cs="仿宋_GB2312"/>
                <w:bCs/>
                <w:sz w:val="28"/>
                <w:szCs w:val="28"/>
                <w:lang w:eastAsia="zh-CN"/>
              </w:rPr>
              <w:t>大精神为引领，在县委、县政府的坚强领导下，团结带领全院干职工，秉持以人民为中心，以患者为中心的发展理念，永葆初心、牢记使命，持续奋斗、勇往直前，坚决为县域人民守住健康屏障，护好生命健康。</w:t>
            </w:r>
          </w:p>
          <w:p>
            <w:pPr>
              <w:rPr>
                <w:rFonts w:eastAsia="楷体_GB2312"/>
                <w:bCs/>
                <w:sz w:val="28"/>
                <w:szCs w:val="28"/>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3000509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7"/>
        <w:sz w:val="24"/>
        <w:szCs w:val="24"/>
      </w:rPr>
    </w:pPr>
    <w:r>
      <w:rPr>
        <w:rStyle w:val="7"/>
        <w:rFonts w:hint="eastAsia"/>
        <w:sz w:val="24"/>
        <w:szCs w:val="24"/>
      </w:rPr>
      <w:t xml:space="preserve">— </w:t>
    </w:r>
    <w:r>
      <w:rPr>
        <w:sz w:val="24"/>
        <w:szCs w:val="24"/>
      </w:rPr>
      <w:fldChar w:fldCharType="begin"/>
    </w:r>
    <w:r>
      <w:rPr>
        <w:rStyle w:val="7"/>
        <w:sz w:val="24"/>
        <w:szCs w:val="24"/>
      </w:rPr>
      <w:instrText xml:space="preserve">PAGE  </w:instrText>
    </w:r>
    <w:r>
      <w:rPr>
        <w:sz w:val="24"/>
        <w:szCs w:val="24"/>
      </w:rPr>
      <w:fldChar w:fldCharType="separate"/>
    </w:r>
    <w:r>
      <w:rPr>
        <w:rStyle w:val="7"/>
        <w:sz w:val="24"/>
        <w:szCs w:val="24"/>
      </w:rPr>
      <w:t>1</w:t>
    </w:r>
    <w:r>
      <w:rPr>
        <w:sz w:val="24"/>
        <w:szCs w:val="24"/>
      </w:rPr>
      <w:fldChar w:fldCharType="end"/>
    </w:r>
    <w:r>
      <w:rPr>
        <w:rStyle w:val="7"/>
        <w:rFonts w:hint="eastAsia"/>
        <w:sz w:val="24"/>
        <w:szCs w:val="24"/>
      </w:rPr>
      <w:t xml:space="preserve"> —</w:t>
    </w:r>
  </w:p>
  <w:p>
    <w:pP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rap="around" w:vAnchor="text" w:hAnchor="margin" w:xAlign="outside" w:y="1"/>
    </w:pPr>
    <w:r>
      <w:fldChar w:fldCharType="begin"/>
    </w:r>
    <w:r>
      <w:instrText xml:space="preserve">PAGE  </w:instrText>
    </w:r>
    <w:r>
      <w:fldChar w:fldCharType="separate"/>
    </w:r>
    <w:r>
      <w:t>- 15 -</w:t>
    </w:r>
    <w:r>
      <w:fldChar w:fldCharType="end"/>
    </w:r>
  </w:p>
  <w:p>
    <w:pPr>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D81DD8"/>
    <w:multiLevelType w:val="singleLevel"/>
    <w:tmpl w:val="90D81DD8"/>
    <w:lvl w:ilvl="0" w:tentative="0">
      <w:start w:val="2"/>
      <w:numFmt w:val="decimal"/>
      <w:suff w:val="nothing"/>
      <w:lvlText w:val="%1、"/>
      <w:lvlJc w:val="left"/>
    </w:lvl>
  </w:abstractNum>
  <w:abstractNum w:abstractNumId="1">
    <w:nsid w:val="3488A525"/>
    <w:multiLevelType w:val="singleLevel"/>
    <w:tmpl w:val="3488A525"/>
    <w:lvl w:ilvl="0" w:tentative="0">
      <w:start w:val="5"/>
      <w:numFmt w:val="chineseCounting"/>
      <w:suff w:val="nothing"/>
      <w:lvlText w:val="%1、"/>
      <w:lvlJc w:val="left"/>
      <w:rPr>
        <w:rFonts w:hint="eastAsia"/>
      </w:rPr>
    </w:lvl>
  </w:abstractNum>
  <w:abstractNum w:abstractNumId="2">
    <w:nsid w:val="34B19430"/>
    <w:multiLevelType w:val="singleLevel"/>
    <w:tmpl w:val="34B19430"/>
    <w:lvl w:ilvl="0" w:tentative="0">
      <w:start w:val="2"/>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VkMTQwM2E3NjA1Nzg2ZDcwN2U4M2RjYjc5MDgzNDMifQ=="/>
  </w:docVars>
  <w:rsids>
    <w:rsidRoot w:val="5FD23517"/>
    <w:rsid w:val="010B2DA4"/>
    <w:rsid w:val="01315448"/>
    <w:rsid w:val="016D1D97"/>
    <w:rsid w:val="025B133E"/>
    <w:rsid w:val="048203DC"/>
    <w:rsid w:val="05255621"/>
    <w:rsid w:val="054B2562"/>
    <w:rsid w:val="06DF3FC3"/>
    <w:rsid w:val="07B26B71"/>
    <w:rsid w:val="084F6F27"/>
    <w:rsid w:val="0A710787"/>
    <w:rsid w:val="0D471FD0"/>
    <w:rsid w:val="10994E41"/>
    <w:rsid w:val="10FA3295"/>
    <w:rsid w:val="1118788E"/>
    <w:rsid w:val="133F0CC2"/>
    <w:rsid w:val="138A52B7"/>
    <w:rsid w:val="168138A2"/>
    <w:rsid w:val="182643EE"/>
    <w:rsid w:val="19202EA7"/>
    <w:rsid w:val="19897386"/>
    <w:rsid w:val="1B1F09DB"/>
    <w:rsid w:val="1B686619"/>
    <w:rsid w:val="1BA027E4"/>
    <w:rsid w:val="1BA106A5"/>
    <w:rsid w:val="1BE14BBF"/>
    <w:rsid w:val="1BF21E2B"/>
    <w:rsid w:val="1D7C2475"/>
    <w:rsid w:val="1E236A34"/>
    <w:rsid w:val="1FB73684"/>
    <w:rsid w:val="201402A2"/>
    <w:rsid w:val="21353FAA"/>
    <w:rsid w:val="255C7C04"/>
    <w:rsid w:val="26B77320"/>
    <w:rsid w:val="26CD2D6C"/>
    <w:rsid w:val="26D23FB3"/>
    <w:rsid w:val="272E2C0F"/>
    <w:rsid w:val="27D05536"/>
    <w:rsid w:val="2A781EB5"/>
    <w:rsid w:val="2BD80724"/>
    <w:rsid w:val="2C172C27"/>
    <w:rsid w:val="2C35582F"/>
    <w:rsid w:val="2C6E531E"/>
    <w:rsid w:val="2D7534FD"/>
    <w:rsid w:val="2DC91AB9"/>
    <w:rsid w:val="30624BCA"/>
    <w:rsid w:val="30DA3650"/>
    <w:rsid w:val="318B1C70"/>
    <w:rsid w:val="33A36F01"/>
    <w:rsid w:val="35007E72"/>
    <w:rsid w:val="3572515A"/>
    <w:rsid w:val="35F5456C"/>
    <w:rsid w:val="363D22FB"/>
    <w:rsid w:val="380F20AB"/>
    <w:rsid w:val="388F15CD"/>
    <w:rsid w:val="39386212"/>
    <w:rsid w:val="3B697D24"/>
    <w:rsid w:val="3E4D3680"/>
    <w:rsid w:val="3E6B3412"/>
    <w:rsid w:val="3EBC5719"/>
    <w:rsid w:val="3EC3599D"/>
    <w:rsid w:val="40F52D2A"/>
    <w:rsid w:val="41120516"/>
    <w:rsid w:val="42733236"/>
    <w:rsid w:val="43217136"/>
    <w:rsid w:val="442E38B9"/>
    <w:rsid w:val="46BA627F"/>
    <w:rsid w:val="483671E0"/>
    <w:rsid w:val="4C5F6C95"/>
    <w:rsid w:val="4D0272C9"/>
    <w:rsid w:val="4ED03D23"/>
    <w:rsid w:val="4FD63E8B"/>
    <w:rsid w:val="51D90405"/>
    <w:rsid w:val="52FE6F5F"/>
    <w:rsid w:val="534E1882"/>
    <w:rsid w:val="54B85530"/>
    <w:rsid w:val="54C87412"/>
    <w:rsid w:val="550E1529"/>
    <w:rsid w:val="55124B31"/>
    <w:rsid w:val="556842F3"/>
    <w:rsid w:val="561B17C3"/>
    <w:rsid w:val="57574A7D"/>
    <w:rsid w:val="57991C29"/>
    <w:rsid w:val="58871253"/>
    <w:rsid w:val="59AF248B"/>
    <w:rsid w:val="5B401B30"/>
    <w:rsid w:val="5CED04EE"/>
    <w:rsid w:val="5D852344"/>
    <w:rsid w:val="5D8D7678"/>
    <w:rsid w:val="5DEA5CEA"/>
    <w:rsid w:val="5FB63A2D"/>
    <w:rsid w:val="5FD23517"/>
    <w:rsid w:val="606B622F"/>
    <w:rsid w:val="6084013B"/>
    <w:rsid w:val="60E056FD"/>
    <w:rsid w:val="62CB1A6A"/>
    <w:rsid w:val="63900EC4"/>
    <w:rsid w:val="64BB18DC"/>
    <w:rsid w:val="64D92D2C"/>
    <w:rsid w:val="65F65ACF"/>
    <w:rsid w:val="662F4AF5"/>
    <w:rsid w:val="663A673C"/>
    <w:rsid w:val="67193AFD"/>
    <w:rsid w:val="6865349E"/>
    <w:rsid w:val="692549DB"/>
    <w:rsid w:val="6C8D4D71"/>
    <w:rsid w:val="6F60051B"/>
    <w:rsid w:val="6F63625D"/>
    <w:rsid w:val="70D6480D"/>
    <w:rsid w:val="70E96C63"/>
    <w:rsid w:val="73CB7A5E"/>
    <w:rsid w:val="741E5CF0"/>
    <w:rsid w:val="765F3695"/>
    <w:rsid w:val="784600BD"/>
    <w:rsid w:val="78740DCB"/>
    <w:rsid w:val="79615301"/>
    <w:rsid w:val="79E53808"/>
    <w:rsid w:val="7B220D7A"/>
    <w:rsid w:val="7C0D53F4"/>
    <w:rsid w:val="7E2A79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style>
  <w:style w:type="paragraph" w:styleId="3">
    <w:name w:val="footer"/>
    <w:basedOn w:val="1"/>
    <w:qFormat/>
    <w:uiPriority w:val="0"/>
    <w:pPr>
      <w:tabs>
        <w:tab w:val="center" w:pos="4153"/>
        <w:tab w:val="right" w:pos="8306"/>
      </w:tabs>
      <w:snapToGrid w:val="0"/>
      <w:jc w:val="left"/>
    </w:pPr>
    <w:rPr>
      <w:kern w:val="0"/>
      <w:sz w:val="18"/>
      <w:szCs w:val="18"/>
    </w:rPr>
  </w:style>
  <w:style w:type="paragraph" w:styleId="4">
    <w:name w:val="Normal (Web)"/>
    <w:basedOn w:val="1"/>
    <w:qFormat/>
    <w:uiPriority w:val="0"/>
    <w:pPr>
      <w:spacing w:beforeAutospacing="1" w:afterAutospacing="1"/>
      <w:jc w:val="left"/>
    </w:pPr>
    <w:rPr>
      <w:rFonts w:cs="Times New Roman"/>
      <w:kern w:val="0"/>
      <w:sz w:val="24"/>
    </w:rPr>
  </w:style>
  <w:style w:type="character" w:styleId="7">
    <w:name w:val="page number"/>
    <w:qFormat/>
    <w:uiPriority w:val="0"/>
  </w:style>
  <w:style w:type="paragraph" w:customStyle="1" w:styleId="8">
    <w:name w:val="Default"/>
    <w:qFormat/>
    <w:uiPriority w:val="0"/>
    <w:pPr>
      <w:widowControl w:val="0"/>
      <w:autoSpaceDE w:val="0"/>
      <w:autoSpaceDN w:val="0"/>
      <w:adjustRightInd w:val="0"/>
    </w:pPr>
    <w:rPr>
      <w:rFonts w:ascii="黑体" w:eastAsia="黑体" w:cs="黑体" w:hAnsiTheme="minorHAnsi"/>
      <w:color w:val="000000"/>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25</TotalTime>
  <ScaleCrop>false</ScaleCrop>
  <LinksUpToDate>false</LinksUpToDate>
  <CharactersWithSpaces>0</CharactersWithSpaces>
  <Application>WPS Office_12.1.0.15404_F1E327BC-269C-435d-A152-05C5408002CA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2023-09-25T01:09:00Z</dcterms:created>
  <dc:creator>秋痕</dc:creator>
  <cp:lastModifiedBy>Administrator</cp:lastModifiedBy>
  <dcterms:modified xsi:type="dcterms:W3CDTF">2023-09-26T02:22:02Z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2052-12.1.0.15404</vt:lpwstr>
  </property>
  <property fmtid="{D5CDD505-2E9C-101B-9397-08002B2CF9AE}" pid="3" name="ICV">
    <vt:lpwstr>5D6238C4B43F44F8BF629EB2B20B9146_11</vt:lpwstr>
  </property>
</Properties>
</file>